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56000" cy="741126"/>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756000" cy="741126"/>
                    </a:xfrm>
                    <a:prstGeom prst="rect"/>
                  </pic:spPr>
                </pic:pic>
              </a:graphicData>
            </a:graphic>
          </wp:inline>
        </w:drawing>
      </w:r>
    </w:p>
    <w:p>
      <w:r>
        <w:rPr>
          <w:b/>
        </w:rPr>
        <w:t>БЛАГОТВОРИТЕЛЬНЫЙ ФОНД «ПЛЕЧОМ К ПЛЕЧУ»</w:t>
      </w:r>
    </w:p>
    <w:p>
      <w:pPr>
        <w:jc w:val="right"/>
      </w:pPr>
      <w:r>
        <w:rPr>
          <w:sz w:val="18"/>
        </w:rPr>
        <w:t>УТВЕРЖДЕНА решением Совета Фонда</w:t>
        <w:br/>
        <w:t>Протокол № ____ от «___» __________ 20___ г.</w:t>
      </w:r>
    </w:p>
    <w:p>
      <w:pPr>
        <w:pStyle w:val="Title"/>
      </w:pPr>
      <w:r>
        <w:t>Программа поддержки участников и ветеранов СВО и членов их семей</w:t>
      </w:r>
    </w:p>
    <w:p>
      <w:r>
        <w:t>Благотворительная программа на 12 месяцев со дня утверждения.</w:t>
        <w:br/>
        <w:t>Территория реализации — Российская Федерация.</w:t>
        <w:br/>
        <w:t>Руководитель программы — Директор Фонда.</w:t>
      </w:r>
    </w:p>
    <w:p>
      <w:pPr>
        <w:pStyle w:val="Heading1"/>
      </w:pPr>
      <w:r>
        <w:t>1 Цель и правовая основа</w:t>
      </w:r>
    </w:p>
    <w:p>
      <w:r>
        <w:t>1.1. Цель программы — социальная поддержка исключительно участников и ветеранов специальной военной операции (СВО), а также членов их семей, сохранение качества их жизни, поддержка семьи, охрана здоровья, содействие образованию и реализации прав независимо от уровня доходов и имущественного положения.</w:t>
      </w:r>
    </w:p>
    <w:p>
      <w:r>
        <w:t>1.2. Программа реализует цели пункта 2.1 Устава Фонда в соответствии с Федеральным законом от 11.08.1995 № 135-ФЗ «О благотворительной деятельности и добровольчестве (волонтерстве)». Полномочия Совета и Директора определяются пунктами 8.1.1 и 8.3.3 Устава и статьями 10 и 17 указанного закона. При передаче пожертвований применяется статья 582 ГК РФ.</w:t>
      </w:r>
    </w:p>
    <w:p>
      <w:pPr>
        <w:pStyle w:val="Heading1"/>
      </w:pPr>
      <w:r>
        <w:t>2 Принцип поддержки без оценки нуждаемости</w:t>
      </w:r>
    </w:p>
    <w:p>
      <w:r>
        <w:rPr>
          <w:b/>
        </w:rPr>
        <w:t>2.1. Принадлежность к категории получателей, установленной разделом 3, является самостоятельным основанием для участия в программе. Признание малоимущим, нуждающимся в социальном обслуживании либо находящимся в трудной жизненной ситуации не требуется.</w:t>
      </w:r>
    </w:p>
    <w:p>
      <w:r>
        <w:t>2.2. Фонд не оценивает доходы, имущество и уровень обеспеченности семьи. Справки о доходах, сведения об имуществе, акт обследования жилищных условий и доказательства недостатка собственных средств для назначения помощи не запрашиваются.</w:t>
      </w:r>
    </w:p>
    <w:p>
      <w:r>
        <w:t>2.3. Работа, предпринимательская деятельность, денежное довольствие, пенсия, социальные выплаты, наличие жилья, сбережений и помощь других организаций сами по себе не являются основаниями для отказа или уменьшения помощи.</w:t>
      </w:r>
    </w:p>
    <w:p>
      <w:r>
        <w:t>2.4. Проверяются категория получателя, соответствие назначения помощи программе, достоверность необходимых сведений и возможность финансирования. Помощь предоставляется в пределах утверждённой сметы и доступных средств. Участие в программе не означает гарантированную выплату каждому обратившемуся.</w:t>
      </w:r>
    </w:p>
    <w:p>
      <w:pPr>
        <w:pStyle w:val="Heading1"/>
        <w:pageBreakBefore/>
      </w:pPr>
      <w:r>
        <w:t>3 Категории получателей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4"/>
        <w:gridCol w:w="7143"/>
      </w:tblGrid>
      <w:tr>
        <w:trPr>
          <w:cantSplit/>
          <w:tblHeader/>
        </w:trPr>
        <w:tc>
          <w:tcPr>
            <w:tcW w:type="dxa" w:w="2494"/>
            <w:vAlign w:val="center"/>
            <w:tcMar>
              <w:top w:w="60" w:type="dxa"/>
              <w:bottom w:w="60" w:type="dxa"/>
              <w:left w:w="100" w:type="dxa"/>
              <w:right w:w="100" w:type="dxa"/>
            </w:tcMar>
            <w:shd w:fill="E9ECEA"/>
          </w:tcPr>
          <w:p>
            <w:pPr>
              <w:spacing w:after="40" w:before="40" w:line="264" w:lineRule="auto"/>
            </w:pPr>
            <w:r>
              <w:rPr>
                <w:b/>
                <w:sz w:val="18"/>
              </w:rPr>
              <w:t>Категория</w:t>
            </w:r>
          </w:p>
        </w:tc>
        <w:tc>
          <w:tcPr>
            <w:tcW w:type="dxa" w:w="7143"/>
            <w:vAlign w:val="center"/>
            <w:tcMar>
              <w:top w:w="60" w:type="dxa"/>
              <w:bottom w:w="60" w:type="dxa"/>
              <w:left w:w="100" w:type="dxa"/>
              <w:right w:w="100" w:type="dxa"/>
            </w:tcMar>
            <w:shd w:fill="E9ECEA"/>
          </w:tcPr>
          <w:p>
            <w:pPr>
              <w:spacing w:after="40" w:before="40" w:line="264" w:lineRule="auto"/>
            </w:pPr>
            <w:r>
              <w:rPr>
                <w:b/>
                <w:sz w:val="18"/>
              </w:rPr>
              <w:t>Кого включает программа</w:t>
            </w:r>
          </w:p>
        </w:tc>
      </w:tr>
      <w:tr>
        <w:trPr>
          <w:cantSplit/>
        </w:trPr>
        <w:tc>
          <w:tcPr>
            <w:tcW w:type="dxa" w:w="2494"/>
            <w:vAlign w:val="center"/>
            <w:tcMar>
              <w:top w:w="60" w:type="dxa"/>
              <w:bottom w:w="60" w:type="dxa"/>
              <w:left w:w="100" w:type="dxa"/>
              <w:right w:w="100" w:type="dxa"/>
            </w:tcMar>
            <w:shd w:fill="FFFFFF"/>
          </w:tcPr>
          <w:p>
            <w:pPr>
              <w:spacing w:after="40" w:before="40" w:line="264" w:lineRule="auto"/>
            </w:pPr>
            <w:r>
              <w:rPr>
                <w:b w:val="0"/>
                <w:sz w:val="18"/>
              </w:rPr>
              <w:t>Участники СВО</w:t>
            </w:r>
          </w:p>
        </w:tc>
        <w:tc>
          <w:tcPr>
            <w:tcW w:type="dxa" w:w="7143"/>
            <w:vAlign w:val="center"/>
            <w:tcMar>
              <w:top w:w="60" w:type="dxa"/>
              <w:bottom w:w="60" w:type="dxa"/>
              <w:left w:w="100" w:type="dxa"/>
              <w:right w:w="100" w:type="dxa"/>
            </w:tcMar>
            <w:shd w:fill="FFFFFF"/>
          </w:tcPr>
          <w:p>
            <w:pPr>
              <w:spacing w:after="40" w:before="40" w:line="264" w:lineRule="auto"/>
            </w:pPr>
            <w:r>
              <w:rPr>
                <w:b w:val="0"/>
                <w:sz w:val="18"/>
              </w:rPr>
              <w:t>Лица, участие которых в специальной военной операции подтверждено компетентным органом: военнослужащие, включая мобилизованных и контрактников; участники добровольческих формирований; иные лица с документально подтверждённым участием. Помощь возможна во время участия и после его завершения, включая увольнение со службы.</w:t>
            </w:r>
          </w:p>
        </w:tc>
      </w:tr>
      <w:tr>
        <w:trPr>
          <w:cantSplit/>
        </w:trPr>
        <w:tc>
          <w:tcPr>
            <w:tcW w:type="dxa" w:w="2494"/>
            <w:vAlign w:val="center"/>
            <w:tcMar>
              <w:top w:w="60" w:type="dxa"/>
              <w:bottom w:w="60" w:type="dxa"/>
              <w:left w:w="100" w:type="dxa"/>
              <w:right w:w="100" w:type="dxa"/>
            </w:tcMar>
            <w:shd w:fill="F8F9F8"/>
          </w:tcPr>
          <w:p>
            <w:pPr>
              <w:spacing w:after="40" w:before="40" w:line="264" w:lineRule="auto"/>
            </w:pPr>
            <w:r>
              <w:rPr>
                <w:b w:val="0"/>
                <w:sz w:val="18"/>
              </w:rPr>
              <w:t>Ветераны СВО</w:t>
            </w:r>
          </w:p>
        </w:tc>
        <w:tc>
          <w:tcPr>
            <w:tcW w:type="dxa" w:w="7143"/>
            <w:vAlign w:val="center"/>
            <w:tcMar>
              <w:top w:w="60" w:type="dxa"/>
              <w:bottom w:w="60" w:type="dxa"/>
              <w:left w:w="100" w:type="dxa"/>
              <w:right w:w="100" w:type="dxa"/>
            </w:tcMar>
            <w:shd w:fill="F8F9F8"/>
          </w:tcPr>
          <w:p>
            <w:pPr>
              <w:spacing w:after="40" w:before="40" w:line="264" w:lineRule="auto"/>
            </w:pPr>
            <w:r>
              <w:rPr>
                <w:b w:val="0"/>
                <w:sz w:val="18"/>
              </w:rPr>
              <w:t>Ветераны боевых действий, принимавшие участие именно в СВО. В программе обозначаются как «ветераны СВО». Статус ветерана иных боевых действий, военной службы или труда без участия в СВО основанием для получения помощи не является.</w:t>
            </w:r>
          </w:p>
        </w:tc>
      </w:tr>
      <w:tr>
        <w:trPr>
          <w:cantSplit/>
        </w:trPr>
        <w:tc>
          <w:tcPr>
            <w:tcW w:type="dxa" w:w="2494"/>
            <w:vAlign w:val="center"/>
            <w:tcMar>
              <w:top w:w="60" w:type="dxa"/>
              <w:bottom w:w="60" w:type="dxa"/>
              <w:left w:w="100" w:type="dxa"/>
              <w:right w:w="100" w:type="dxa"/>
            </w:tcMar>
            <w:shd w:fill="FFFFFF"/>
          </w:tcPr>
          <w:p>
            <w:pPr>
              <w:spacing w:after="40" w:before="40" w:line="264" w:lineRule="auto"/>
            </w:pPr>
            <w:r>
              <w:rPr>
                <w:b w:val="0"/>
                <w:sz w:val="18"/>
              </w:rPr>
              <w:t>Члены семей</w:t>
            </w:r>
          </w:p>
        </w:tc>
        <w:tc>
          <w:tcPr>
            <w:tcW w:type="dxa" w:w="7143"/>
            <w:vAlign w:val="center"/>
            <w:tcMar>
              <w:top w:w="60" w:type="dxa"/>
              <w:bottom w:w="60" w:type="dxa"/>
              <w:left w:w="100" w:type="dxa"/>
              <w:right w:w="100" w:type="dxa"/>
            </w:tcMar>
            <w:shd w:fill="FFFFFF"/>
          </w:tcPr>
          <w:p>
            <w:pPr>
              <w:spacing w:after="40" w:before="40" w:line="264" w:lineRule="auto"/>
            </w:pPr>
            <w:r>
              <w:rPr>
                <w:b w:val="0"/>
                <w:sz w:val="18"/>
              </w:rPr>
              <w:t>Лица, перечисленные в пункте 3.2, связанные семейными отношениями с участником или ветераном СВО. Они могут быть самостоятельными получателями помощи.</w:t>
            </w:r>
          </w:p>
        </w:tc>
      </w:tr>
      <w:tr>
        <w:trPr>
          <w:cantSplit/>
        </w:trPr>
        <w:tc>
          <w:tcPr>
            <w:tcW w:type="dxa" w:w="2494"/>
            <w:vAlign w:val="center"/>
            <w:tcMar>
              <w:top w:w="60" w:type="dxa"/>
              <w:bottom w:w="60" w:type="dxa"/>
              <w:left w:w="100" w:type="dxa"/>
              <w:right w:w="100" w:type="dxa"/>
            </w:tcMar>
            <w:shd w:fill="F8F9F8"/>
          </w:tcPr>
          <w:p>
            <w:pPr>
              <w:spacing w:after="40" w:before="40" w:line="264" w:lineRule="auto"/>
            </w:pPr>
            <w:r>
              <w:rPr>
                <w:b w:val="0"/>
                <w:sz w:val="18"/>
              </w:rPr>
              <w:t>Семьи погибших и пропавших без вести</w:t>
            </w:r>
          </w:p>
        </w:tc>
        <w:tc>
          <w:tcPr>
            <w:tcW w:type="dxa" w:w="7143"/>
            <w:vAlign w:val="center"/>
            <w:tcMar>
              <w:top w:w="60" w:type="dxa"/>
              <w:bottom w:w="60" w:type="dxa"/>
              <w:left w:w="100" w:type="dxa"/>
              <w:right w:w="100" w:type="dxa"/>
            </w:tcMar>
            <w:shd w:fill="F8F9F8"/>
          </w:tcPr>
          <w:p>
            <w:pPr>
              <w:spacing w:after="40" w:before="40" w:line="264" w:lineRule="auto"/>
            </w:pPr>
            <w:r>
              <w:rPr>
                <w:b w:val="0"/>
                <w:sz w:val="18"/>
              </w:rPr>
              <w:t>Члены семей умерших или погибших участников и ветеранов СВО, а также лиц, сведения о безвестном отсутствии, пленении либо пропаже которых подтверждены компетентным органом. Причина смерти не ограничивает доступ к обычной поддержке семьи.</w:t>
            </w:r>
          </w:p>
        </w:tc>
      </w:tr>
    </w:tbl>
    <w:p>
      <w:pPr>
        <w:spacing w:after="0"/>
      </w:pPr>
    </w:p>
    <w:p>
      <w:r>
        <w:t>3.1. Обязательна подтверждённая связь с СВО: участие самого получателя либо лица, членом семьи которого он является. Ранение, инвалидность, продолжительность службы, награды и получение государственных выплат не являются обязательными условиями помощи.</w:t>
      </w:r>
    </w:p>
    <w:p>
      <w:r>
        <w:t>3.2. Членами семьи для целей программы признаются:</w:t>
      </w:r>
    </w:p>
    <w:p>
      <w:r>
        <w:t>• супруг или супруга в зарегистрированном браке; переживший супруг, состоявший в браке с участником или ветераном СВО на дату смерти;</w:t>
      </w:r>
    </w:p>
    <w:p>
      <w:r>
        <w:t>• дети, в том числе усыновлённые, независимо от возраста, обучения, занятости и наличия собственной семьи;</w:t>
      </w:r>
    </w:p>
    <w:p>
      <w:r>
        <w:t>• родители, в том числе усыновители;</w:t>
      </w:r>
    </w:p>
    <w:p>
      <w:r>
        <w:t>• полнородные и неполнородные братья и сёстры, дедушки, бабушки и внуки;</w:t>
      </w:r>
    </w:p>
    <w:p>
      <w:r>
        <w:t>• подопечные участника или ветерана СВО; опекуны и попечители, назначенные в отношении участника или ветерана СВО.</w:t>
      </w:r>
    </w:p>
    <w:p>
      <w:r>
        <w:t>3.3. Для перечисленных лиц не требуются совместная регистрация, совместное проживание, ведение общего хозяйства или нахождение на иждивении. Новый брак пережившего супруга не прекращает его участие в программе. Этот круг получателей установлен Фондом для собственной программы и не определяет право на государственные льготы.</w:t>
      </w:r>
    </w:p>
    <w:p>
      <w:r>
        <w:t>3.4. Помощь несовершеннолетнему или недееспособному получателю оформляется с участием законного представителя по правилам гражданского законодательства. Представитель не обязан самостоятельно относиться к категориям программы. Возраст, получатель средств и полномочия представителя фиксируются в документах.</w:t>
      </w:r>
    </w:p>
    <w:p>
      <w:r>
        <w:t>3.5. Каждый член семьи вправе обратиться самостоятельно. Помощь одному члену семьи не исключает помощь другому; одни и те же конкретные расходы повторно не возмещаются.</w:t>
      </w:r>
    </w:p>
    <w:p>
      <w:pPr>
        <w:pStyle w:val="Heading1"/>
        <w:pageBreakBefore/>
      </w:pPr>
      <w:r>
        <w:t>4 Основания помощи и минимальные подтверждения</w:t>
      </w:r>
    </w:p>
    <w:p>
      <w:r>
        <w:t>4.1. Для предоставления помощи одновременно необходимы: подтверждённая категория получателя; обращение или согласие принять предложенную Фондом помощь; назначение помощи в рамках раздела 5; решение уполномоченного органа или лица Фонда и доступный источник финансирования.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51"/>
        <w:gridCol w:w="7087"/>
      </w:tblGrid>
      <w:tr>
        <w:trPr>
          <w:cantSplit/>
          <w:tblHeader/>
        </w:trPr>
        <w:tc>
          <w:tcPr>
            <w:tcW w:type="dxa" w:w="2551"/>
            <w:vAlign w:val="center"/>
            <w:tcMar>
              <w:top w:w="60" w:type="dxa"/>
              <w:bottom w:w="60" w:type="dxa"/>
              <w:left w:w="100" w:type="dxa"/>
              <w:right w:w="100" w:type="dxa"/>
            </w:tcMar>
            <w:shd w:fill="E9ECEA"/>
          </w:tcPr>
          <w:p>
            <w:pPr>
              <w:spacing w:after="40" w:before="40" w:line="264" w:lineRule="auto"/>
            </w:pPr>
            <w:r>
              <w:rPr>
                <w:b/>
                <w:sz w:val="18"/>
              </w:rPr>
              <w:t>Что подтверждается</w:t>
            </w:r>
          </w:p>
        </w:tc>
        <w:tc>
          <w:tcPr>
            <w:tcW w:type="dxa" w:w="7087"/>
            <w:vAlign w:val="center"/>
            <w:tcMar>
              <w:top w:w="60" w:type="dxa"/>
              <w:bottom w:w="60" w:type="dxa"/>
              <w:left w:w="100" w:type="dxa"/>
              <w:right w:w="100" w:type="dxa"/>
            </w:tcMar>
            <w:shd w:fill="E9ECEA"/>
          </w:tcPr>
          <w:p>
            <w:pPr>
              <w:spacing w:after="40" w:before="40" w:line="264" w:lineRule="auto"/>
            </w:pPr>
            <w:r>
              <w:rPr>
                <w:b/>
                <w:sz w:val="18"/>
              </w:rPr>
              <w:t>Достаточные сведения или документы</w:t>
            </w:r>
          </w:p>
        </w:tc>
      </w:tr>
      <w:tr>
        <w:trPr>
          <w:cantSplit/>
        </w:trPr>
        <w:tc>
          <w:tcPr>
            <w:tcW w:type="dxa" w:w="2551"/>
            <w:vAlign w:val="center"/>
            <w:tcMar>
              <w:top w:w="60" w:type="dxa"/>
              <w:bottom w:w="60" w:type="dxa"/>
              <w:left w:w="100" w:type="dxa"/>
              <w:right w:w="100" w:type="dxa"/>
            </w:tcMar>
            <w:shd w:fill="FFFFFF"/>
          </w:tcPr>
          <w:p>
            <w:pPr>
              <w:spacing w:after="40" w:before="40" w:line="264" w:lineRule="auto"/>
            </w:pPr>
            <w:r>
              <w:rPr>
                <w:b w:val="0"/>
                <w:sz w:val="18"/>
              </w:rPr>
              <w:t>Личность</w:t>
            </w:r>
          </w:p>
        </w:tc>
        <w:tc>
          <w:tcPr>
            <w:tcW w:type="dxa" w:w="7087"/>
            <w:vAlign w:val="center"/>
            <w:tcMar>
              <w:top w:w="60" w:type="dxa"/>
              <w:bottom w:w="60" w:type="dxa"/>
              <w:left w:w="100" w:type="dxa"/>
              <w:right w:w="100" w:type="dxa"/>
            </w:tcMar>
            <w:shd w:fill="FFFFFF"/>
          </w:tcPr>
          <w:p>
            <w:pPr>
              <w:spacing w:after="40" w:before="40" w:line="264" w:lineRule="auto"/>
            </w:pPr>
            <w:r>
              <w:rPr>
                <w:b w:val="0"/>
                <w:sz w:val="18"/>
              </w:rPr>
              <w:t>Документ, удостоверяющий личность, предъявленный для проверки; в деле сохраняются необходимые реквизиты. Полная копия паспорта по умолчанию не требуется.</w:t>
            </w:r>
          </w:p>
        </w:tc>
      </w:tr>
      <w:tr>
        <w:trPr>
          <w:cantSplit/>
        </w:trPr>
        <w:tc>
          <w:tcPr>
            <w:tcW w:type="dxa" w:w="2551"/>
            <w:vAlign w:val="center"/>
            <w:tcMar>
              <w:top w:w="60" w:type="dxa"/>
              <w:bottom w:w="60" w:type="dxa"/>
              <w:left w:w="100" w:type="dxa"/>
              <w:right w:w="100" w:type="dxa"/>
            </w:tcMar>
            <w:shd w:fill="F8F9F8"/>
          </w:tcPr>
          <w:p>
            <w:pPr>
              <w:spacing w:after="40" w:before="40" w:line="264" w:lineRule="auto"/>
            </w:pPr>
            <w:r>
              <w:rPr>
                <w:b w:val="0"/>
                <w:sz w:val="18"/>
              </w:rPr>
              <w:t>Участие в СВО</w:t>
            </w:r>
          </w:p>
        </w:tc>
        <w:tc>
          <w:tcPr>
            <w:tcW w:type="dxa" w:w="7087"/>
            <w:vAlign w:val="center"/>
            <w:tcMar>
              <w:top w:w="60" w:type="dxa"/>
              <w:bottom w:w="60" w:type="dxa"/>
              <w:left w:w="100" w:type="dxa"/>
              <w:right w:w="100" w:type="dxa"/>
            </w:tcMar>
            <w:shd w:fill="F8F9F8"/>
          </w:tcPr>
          <w:p>
            <w:pPr>
              <w:spacing w:after="40" w:before="40" w:line="264" w:lineRule="auto"/>
            </w:pPr>
            <w:r>
              <w:rPr>
                <w:b w:val="0"/>
                <w:sz w:val="18"/>
              </w:rPr>
              <w:t>Справка об участии в СВО, в том числе с места службы или от воинской части; официальный электронный документ, выписка или ответ компетентного органа. Документ должен подтверждать участие именно в СВО, а не только прохождение службы.</w:t>
            </w:r>
          </w:p>
        </w:tc>
      </w:tr>
      <w:tr>
        <w:trPr>
          <w:cantSplit/>
        </w:trPr>
        <w:tc>
          <w:tcPr>
            <w:tcW w:type="dxa" w:w="2551"/>
            <w:vAlign w:val="center"/>
            <w:tcMar>
              <w:top w:w="60" w:type="dxa"/>
              <w:bottom w:w="60" w:type="dxa"/>
              <w:left w:w="100" w:type="dxa"/>
              <w:right w:w="100" w:type="dxa"/>
            </w:tcMar>
            <w:shd w:fill="FFFFFF"/>
          </w:tcPr>
          <w:p>
            <w:pPr>
              <w:spacing w:after="40" w:before="40" w:line="264" w:lineRule="auto"/>
            </w:pPr>
            <w:r>
              <w:rPr>
                <w:b w:val="0"/>
                <w:sz w:val="18"/>
              </w:rPr>
              <w:t>Статус ветерана СВО</w:t>
            </w:r>
          </w:p>
        </w:tc>
        <w:tc>
          <w:tcPr>
            <w:tcW w:type="dxa" w:w="7087"/>
            <w:vAlign w:val="center"/>
            <w:tcMar>
              <w:top w:w="60" w:type="dxa"/>
              <w:bottom w:w="60" w:type="dxa"/>
              <w:left w:w="100" w:type="dxa"/>
              <w:right w:w="100" w:type="dxa"/>
            </w:tcMar>
            <w:shd w:fill="FFFFFF"/>
          </w:tcPr>
          <w:p>
            <w:pPr>
              <w:spacing w:after="40" w:before="40" w:line="264" w:lineRule="auto"/>
            </w:pPr>
            <w:r>
              <w:rPr>
                <w:b w:val="0"/>
                <w:sz w:val="18"/>
              </w:rPr>
              <w:t>Удостоверение ветерана боевых действий и подтверждение участия в СВО, если оно не следует из удостоверения. При отсутствии удостоверения помощь предоставляется по категории участника СВО на основании подтверждения участия.</w:t>
            </w:r>
          </w:p>
        </w:tc>
      </w:tr>
      <w:tr>
        <w:trPr>
          <w:cantSplit/>
        </w:trPr>
        <w:tc>
          <w:tcPr>
            <w:tcW w:type="dxa" w:w="2551"/>
            <w:vAlign w:val="center"/>
            <w:tcMar>
              <w:top w:w="60" w:type="dxa"/>
              <w:bottom w:w="60" w:type="dxa"/>
              <w:left w:w="100" w:type="dxa"/>
              <w:right w:w="100" w:type="dxa"/>
            </w:tcMar>
            <w:shd w:fill="F8F9F8"/>
          </w:tcPr>
          <w:p>
            <w:pPr>
              <w:spacing w:after="40" w:before="40" w:line="264" w:lineRule="auto"/>
            </w:pPr>
            <w:r>
              <w:rPr>
                <w:b w:val="0"/>
                <w:sz w:val="18"/>
              </w:rPr>
              <w:t>Связь с участником или ветераном СВО</w:t>
            </w:r>
          </w:p>
        </w:tc>
        <w:tc>
          <w:tcPr>
            <w:tcW w:type="dxa" w:w="7087"/>
            <w:vAlign w:val="center"/>
            <w:tcMar>
              <w:top w:w="60" w:type="dxa"/>
              <w:bottom w:w="60" w:type="dxa"/>
              <w:left w:w="100" w:type="dxa"/>
              <w:right w:w="100" w:type="dxa"/>
            </w:tcMar>
            <w:shd w:fill="F8F9F8"/>
          </w:tcPr>
          <w:p>
            <w:pPr>
              <w:spacing w:after="40" w:before="40" w:line="264" w:lineRule="auto"/>
            </w:pPr>
            <w:r>
              <w:rPr>
                <w:b w:val="0"/>
                <w:sz w:val="18"/>
              </w:rPr>
              <w:t>Свидетельства или выписки ЗАГС о рождении, браке, усыновлении; документы об опеке или попечительстве; вступившее в силу решение суда. При необходимости — последовательность документов о родстве.</w:t>
            </w:r>
          </w:p>
        </w:tc>
      </w:tr>
      <w:tr>
        <w:trPr>
          <w:cantSplit/>
        </w:trPr>
        <w:tc>
          <w:tcPr>
            <w:tcW w:type="dxa" w:w="2551"/>
            <w:vAlign w:val="center"/>
            <w:tcMar>
              <w:top w:w="60" w:type="dxa"/>
              <w:bottom w:w="60" w:type="dxa"/>
              <w:left w:w="100" w:type="dxa"/>
              <w:right w:w="100" w:type="dxa"/>
            </w:tcMar>
            <w:shd w:fill="FFFFFF"/>
          </w:tcPr>
          <w:p>
            <w:pPr>
              <w:spacing w:after="40" w:before="40" w:line="264" w:lineRule="auto"/>
            </w:pPr>
            <w:r>
              <w:rPr>
                <w:b w:val="0"/>
                <w:sz w:val="18"/>
              </w:rPr>
              <w:t>Особые обстоятельства</w:t>
            </w:r>
          </w:p>
        </w:tc>
        <w:tc>
          <w:tcPr>
            <w:tcW w:type="dxa" w:w="7087"/>
            <w:vAlign w:val="center"/>
            <w:tcMar>
              <w:top w:w="60" w:type="dxa"/>
              <w:bottom w:w="60" w:type="dxa"/>
              <w:left w:w="100" w:type="dxa"/>
              <w:right w:w="100" w:type="dxa"/>
            </w:tcMar>
            <w:shd w:fill="FFFFFF"/>
          </w:tcPr>
          <w:p>
            <w:pPr>
              <w:spacing w:after="40" w:before="40" w:line="264" w:lineRule="auto"/>
            </w:pPr>
            <w:r>
              <w:rPr>
                <w:b w:val="0"/>
                <w:sz w:val="18"/>
              </w:rPr>
              <w:t>Документ о смерти, сообщение компетентного органа о пропаже без вести или пленении, судебное решение. Такие документы нужны, только если решение о помощи основывается именно на этом обстоятельстве.</w:t>
            </w:r>
          </w:p>
        </w:tc>
      </w:tr>
      <w:tr>
        <w:trPr>
          <w:cantSplit/>
        </w:trPr>
        <w:tc>
          <w:tcPr>
            <w:tcW w:type="dxa" w:w="2551"/>
            <w:vAlign w:val="center"/>
            <w:tcMar>
              <w:top w:w="60" w:type="dxa"/>
              <w:bottom w:w="60" w:type="dxa"/>
              <w:left w:w="100" w:type="dxa"/>
              <w:right w:w="100" w:type="dxa"/>
            </w:tcMar>
            <w:shd w:fill="F8F9F8"/>
          </w:tcPr>
          <w:p>
            <w:pPr>
              <w:spacing w:after="40" w:before="40" w:line="264" w:lineRule="auto"/>
            </w:pPr>
            <w:r>
              <w:rPr>
                <w:b w:val="0"/>
                <w:sz w:val="18"/>
              </w:rPr>
              <w:t>Обычная поддержка</w:t>
            </w:r>
          </w:p>
        </w:tc>
        <w:tc>
          <w:tcPr>
            <w:tcW w:type="dxa" w:w="7087"/>
            <w:vAlign w:val="center"/>
            <w:tcMar>
              <w:top w:w="60" w:type="dxa"/>
              <w:bottom w:w="60" w:type="dxa"/>
              <w:left w:w="100" w:type="dxa"/>
              <w:right w:w="100" w:type="dxa"/>
            </w:tcMar>
            <w:shd w:fill="F8F9F8"/>
          </w:tcPr>
          <w:p>
            <w:pPr>
              <w:spacing w:after="40" w:before="40" w:line="264" w:lineRule="auto"/>
            </w:pPr>
            <w:r>
              <w:rPr>
                <w:b w:val="0"/>
                <w:sz w:val="18"/>
              </w:rPr>
              <w:t>Обращение с указанием направления «поддержка личных и семейных повседневных расходов»; сведения могут быть включены в соглашение по пункту 6.1. Перечень будущих покупок, расчёт дефицита бюджета и чеки до выплаты не требуются.</w:t>
            </w:r>
          </w:p>
        </w:tc>
      </w:tr>
      <w:tr>
        <w:trPr>
          <w:cantSplit/>
        </w:trPr>
        <w:tc>
          <w:tcPr>
            <w:tcW w:type="dxa" w:w="2551"/>
            <w:vAlign w:val="center"/>
            <w:tcMar>
              <w:top w:w="60" w:type="dxa"/>
              <w:bottom w:w="60" w:type="dxa"/>
              <w:left w:w="100" w:type="dxa"/>
              <w:right w:w="100" w:type="dxa"/>
            </w:tcMar>
            <w:shd w:fill="FFFFFF"/>
          </w:tcPr>
          <w:p>
            <w:pPr>
              <w:spacing w:after="40" w:before="40" w:line="264" w:lineRule="auto"/>
            </w:pPr>
            <w:r>
              <w:rPr>
                <w:b w:val="0"/>
                <w:sz w:val="18"/>
              </w:rPr>
              <w:t>Помощь на конкретную цель</w:t>
            </w:r>
          </w:p>
        </w:tc>
        <w:tc>
          <w:tcPr>
            <w:tcW w:type="dxa" w:w="7087"/>
            <w:vAlign w:val="center"/>
            <w:tcMar>
              <w:top w:w="60" w:type="dxa"/>
              <w:bottom w:w="60" w:type="dxa"/>
              <w:left w:w="100" w:type="dxa"/>
              <w:right w:w="100" w:type="dxa"/>
            </w:tcMar>
            <w:shd w:fill="FFFFFF"/>
          </w:tcPr>
          <w:p>
            <w:pPr>
              <w:spacing w:after="40" w:before="40" w:line="264" w:lineRule="auto"/>
            </w:pPr>
            <w:r>
              <w:rPr>
                <w:b w:val="0"/>
                <w:sz w:val="18"/>
              </w:rPr>
              <w:t>Счёт, договор, расчёт расходов или иной относящийся к цели документ. Для медицинской помощи — минимальное подтверждение назначения услуги, лекарства или средства реабилитации. Эти сведения подтверждают цель, а не малообеспеченность.</w:t>
            </w:r>
          </w:p>
        </w:tc>
      </w:tr>
    </w:tbl>
    <w:p>
      <w:pPr>
        <w:spacing w:after="0"/>
      </w:pPr>
    </w:p>
    <w:p>
      <w:r>
        <w:t>4.2. При необходимости Фонд запрашивает справку с места службы, содержащую ФИО, указание участия в СВО, дату, реквизиты выдавшего органа и подпись уполномоченного лица. Допускаются официальные электронные подтверждения. Источник, результат проверки и подтверждающий документ фиксируются в деле.</w:t>
      </w:r>
    </w:p>
    <w:p>
      <w:r>
        <w:t>4.3. Если документ объективно недоступен, Фонд помогает получить официальное подтверждение либо использует другой достоверный источник с фиксацией результата. Обращение принимается, но перечисление по неподтверждённой категории не производится. Одного устного сообщения или неподтверждённого списка недостаточно.</w:t>
      </w:r>
    </w:p>
    <w:p>
      <w:r>
        <w:t>4.4. Если участие в СВО уже достоверно подтверждено имеющимися у Фонда документами или официальными сведениями, новая справка не требуется. При повторном обращении обновляются только изменившиеся сведения. Данные о дислокации, боевых задачах и иные сведения ограниченного доступа не запрашиваются.</w:t>
      </w:r>
    </w:p>
    <w:p>
      <w:pPr>
        <w:pStyle w:val="Heading1"/>
        <w:pageBreakBefore/>
      </w:pPr>
      <w:r>
        <w:t>5 Назначение и формы помощи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51"/>
        <w:gridCol w:w="7087"/>
      </w:tblGrid>
      <w:tr>
        <w:trPr>
          <w:cantSplit/>
          <w:tblHeader/>
        </w:trPr>
        <w:tc>
          <w:tcPr>
            <w:tcW w:type="dxa" w:w="2551"/>
            <w:vAlign w:val="center"/>
            <w:tcMar>
              <w:top w:w="60" w:type="dxa"/>
              <w:bottom w:w="60" w:type="dxa"/>
              <w:left w:w="100" w:type="dxa"/>
              <w:right w:w="100" w:type="dxa"/>
            </w:tcMar>
            <w:shd w:fill="E9ECEA"/>
          </w:tcPr>
          <w:p>
            <w:pPr>
              <w:spacing w:after="40" w:before="40" w:line="264" w:lineRule="auto"/>
            </w:pPr>
            <w:r>
              <w:rPr>
                <w:b/>
                <w:sz w:val="18"/>
              </w:rPr>
              <w:t>Направление</w:t>
            </w:r>
          </w:p>
        </w:tc>
        <w:tc>
          <w:tcPr>
            <w:tcW w:type="dxa" w:w="7087"/>
            <w:vAlign w:val="center"/>
            <w:tcMar>
              <w:top w:w="60" w:type="dxa"/>
              <w:bottom w:w="60" w:type="dxa"/>
              <w:left w:w="100" w:type="dxa"/>
              <w:right w:w="100" w:type="dxa"/>
            </w:tcMar>
            <w:shd w:fill="E9ECEA"/>
          </w:tcPr>
          <w:p>
            <w:pPr>
              <w:spacing w:after="40" w:before="40" w:line="264" w:lineRule="auto"/>
            </w:pPr>
            <w:r>
              <w:rPr>
                <w:b/>
                <w:sz w:val="18"/>
              </w:rPr>
              <w:t>Допустимое назначение</w:t>
            </w:r>
          </w:p>
        </w:tc>
      </w:tr>
      <w:tr>
        <w:trPr>
          <w:cantSplit/>
        </w:trPr>
        <w:tc>
          <w:tcPr>
            <w:tcW w:type="dxa" w:w="2551"/>
            <w:vAlign w:val="center"/>
            <w:tcMar>
              <w:top w:w="60" w:type="dxa"/>
              <w:bottom w:w="60" w:type="dxa"/>
              <w:left w:w="100" w:type="dxa"/>
              <w:right w:w="100" w:type="dxa"/>
            </w:tcMar>
            <w:shd w:fill="FFFFFF"/>
          </w:tcPr>
          <w:p>
            <w:pPr>
              <w:spacing w:after="40" w:before="40" w:line="264" w:lineRule="auto"/>
            </w:pPr>
            <w:r>
              <w:rPr>
                <w:b w:val="0"/>
                <w:sz w:val="18"/>
              </w:rPr>
              <w:t>Повседневная поддержка</w:t>
            </w:r>
          </w:p>
        </w:tc>
        <w:tc>
          <w:tcPr>
            <w:tcW w:type="dxa" w:w="7087"/>
            <w:vAlign w:val="center"/>
            <w:tcMar>
              <w:top w:w="60" w:type="dxa"/>
              <w:bottom w:w="60" w:type="dxa"/>
              <w:left w:w="100" w:type="dxa"/>
              <w:right w:w="100" w:type="dxa"/>
            </w:tcMar>
            <w:shd w:fill="FFFFFF"/>
          </w:tcPr>
          <w:p>
            <w:pPr>
              <w:spacing w:after="40" w:before="40" w:line="264" w:lineRule="auto"/>
            </w:pPr>
            <w:r>
              <w:rPr>
                <w:b w:val="0"/>
                <w:sz w:val="18"/>
              </w:rPr>
              <w:t>Денежная или натуральная помощь для питания, одежды, обуви, гигиены, бытовых товаров, пользования жильём, оплаты коммунальных услуг, связи и проезда, а также других обычных личных и семейных расходов.</w:t>
            </w:r>
          </w:p>
        </w:tc>
      </w:tr>
      <w:tr>
        <w:trPr>
          <w:cantSplit/>
        </w:trPr>
        <w:tc>
          <w:tcPr>
            <w:tcW w:type="dxa" w:w="2551"/>
            <w:vAlign w:val="center"/>
            <w:tcMar>
              <w:top w:w="60" w:type="dxa"/>
              <w:bottom w:w="60" w:type="dxa"/>
              <w:left w:w="100" w:type="dxa"/>
              <w:right w:w="100" w:type="dxa"/>
            </w:tcMar>
            <w:shd w:fill="F8F9F8"/>
          </w:tcPr>
          <w:p>
            <w:pPr>
              <w:spacing w:after="40" w:before="40" w:line="264" w:lineRule="auto"/>
            </w:pPr>
            <w:r>
              <w:rPr>
                <w:b w:val="0"/>
                <w:sz w:val="18"/>
              </w:rPr>
              <w:t>Здоровье и восстановление</w:t>
            </w:r>
          </w:p>
        </w:tc>
        <w:tc>
          <w:tcPr>
            <w:tcW w:type="dxa" w:w="7087"/>
            <w:vAlign w:val="center"/>
            <w:tcMar>
              <w:top w:w="60" w:type="dxa"/>
              <w:bottom w:w="60" w:type="dxa"/>
              <w:left w:w="100" w:type="dxa"/>
              <w:right w:w="100" w:type="dxa"/>
            </w:tcMar>
            <w:shd w:fill="F8F9F8"/>
          </w:tcPr>
          <w:p>
            <w:pPr>
              <w:spacing w:after="40" w:before="40" w:line="264" w:lineRule="auto"/>
            </w:pPr>
            <w:r>
              <w:rPr>
                <w:b w:val="0"/>
                <w:sz w:val="18"/>
              </w:rPr>
              <w:t>Оплата лечения, диагностики, лекарств, медицинских изделий, протезирования, реабилитации, ухода, психологической помощи; проезда и проживания в связи с лечением или реабилитацией.</w:t>
            </w:r>
          </w:p>
        </w:tc>
      </w:tr>
      <w:tr>
        <w:trPr>
          <w:cantSplit/>
        </w:trPr>
        <w:tc>
          <w:tcPr>
            <w:tcW w:type="dxa" w:w="2551"/>
            <w:vAlign w:val="center"/>
            <w:tcMar>
              <w:top w:w="60" w:type="dxa"/>
              <w:bottom w:w="60" w:type="dxa"/>
              <w:left w:w="100" w:type="dxa"/>
              <w:right w:w="100" w:type="dxa"/>
            </w:tcMar>
            <w:shd w:fill="FFFFFF"/>
          </w:tcPr>
          <w:p>
            <w:pPr>
              <w:spacing w:after="40" w:before="40" w:line="264" w:lineRule="auto"/>
            </w:pPr>
            <w:r>
              <w:rPr>
                <w:b w:val="0"/>
                <w:sz w:val="18"/>
              </w:rPr>
              <w:t>Поддержка семьи и детей</w:t>
            </w:r>
          </w:p>
        </w:tc>
        <w:tc>
          <w:tcPr>
            <w:tcW w:type="dxa" w:w="7087"/>
            <w:vAlign w:val="center"/>
            <w:tcMar>
              <w:top w:w="60" w:type="dxa"/>
              <w:bottom w:w="60" w:type="dxa"/>
              <w:left w:w="100" w:type="dxa"/>
              <w:right w:w="100" w:type="dxa"/>
            </w:tcMar>
            <w:shd w:fill="FFFFFF"/>
          </w:tcPr>
          <w:p>
            <w:pPr>
              <w:spacing w:after="40" w:before="40" w:line="264" w:lineRule="auto"/>
            </w:pPr>
            <w:r>
              <w:rPr>
                <w:b w:val="0"/>
                <w:sz w:val="18"/>
              </w:rPr>
              <w:t>Товары и услуги для ухода за детьми, школьные принадлежности, развивающие занятия, семейные и детские культурные мероприятия; помощь семье после смерти, пропажи без вести или пленения участника или ветерана СВО.</w:t>
            </w:r>
          </w:p>
        </w:tc>
      </w:tr>
      <w:tr>
        <w:trPr>
          <w:cantSplit/>
        </w:trPr>
        <w:tc>
          <w:tcPr>
            <w:tcW w:type="dxa" w:w="2551"/>
            <w:vAlign w:val="center"/>
            <w:tcMar>
              <w:top w:w="60" w:type="dxa"/>
              <w:bottom w:w="60" w:type="dxa"/>
              <w:left w:w="100" w:type="dxa"/>
              <w:right w:w="100" w:type="dxa"/>
            </w:tcMar>
            <w:shd w:fill="F8F9F8"/>
          </w:tcPr>
          <w:p>
            <w:pPr>
              <w:spacing w:after="40" w:before="40" w:line="264" w:lineRule="auto"/>
            </w:pPr>
            <w:r>
              <w:rPr>
                <w:b w:val="0"/>
                <w:sz w:val="18"/>
              </w:rPr>
              <w:t>Образование и адаптация</w:t>
            </w:r>
          </w:p>
        </w:tc>
        <w:tc>
          <w:tcPr>
            <w:tcW w:type="dxa" w:w="7087"/>
            <w:vAlign w:val="center"/>
            <w:tcMar>
              <w:top w:w="60" w:type="dxa"/>
              <w:bottom w:w="60" w:type="dxa"/>
              <w:left w:w="100" w:type="dxa"/>
              <w:right w:w="100" w:type="dxa"/>
            </w:tcMar>
            <w:shd w:fill="F8F9F8"/>
          </w:tcPr>
          <w:p>
            <w:pPr>
              <w:spacing w:after="40" w:before="40" w:line="264" w:lineRule="auto"/>
            </w:pPr>
            <w:r>
              <w:rPr>
                <w:b w:val="0"/>
                <w:sz w:val="18"/>
              </w:rPr>
              <w:t>Обучение и переобучение, учебные материалы, содействие профессиональной и социальной адаптации, консультации по трудоустройству и восстановлению навыков самостоятельной жизни.</w:t>
            </w:r>
          </w:p>
        </w:tc>
      </w:tr>
      <w:tr>
        <w:trPr>
          <w:cantSplit/>
        </w:trPr>
        <w:tc>
          <w:tcPr>
            <w:tcW w:type="dxa" w:w="2551"/>
            <w:vAlign w:val="center"/>
            <w:tcMar>
              <w:top w:w="60" w:type="dxa"/>
              <w:bottom w:w="60" w:type="dxa"/>
              <w:left w:w="100" w:type="dxa"/>
              <w:right w:w="100" w:type="dxa"/>
            </w:tcMar>
            <w:shd w:fill="FFFFFF"/>
          </w:tcPr>
          <w:p>
            <w:pPr>
              <w:spacing w:after="40" w:before="40" w:line="264" w:lineRule="auto"/>
            </w:pPr>
            <w:r>
              <w:rPr>
                <w:b w:val="0"/>
                <w:sz w:val="18"/>
              </w:rPr>
              <w:t>Правовая помощь</w:t>
            </w:r>
          </w:p>
        </w:tc>
        <w:tc>
          <w:tcPr>
            <w:tcW w:type="dxa" w:w="7087"/>
            <w:vAlign w:val="center"/>
            <w:tcMar>
              <w:top w:w="60" w:type="dxa"/>
              <w:bottom w:w="60" w:type="dxa"/>
              <w:left w:w="100" w:type="dxa"/>
              <w:right w:w="100" w:type="dxa"/>
            </w:tcMar>
            <w:shd w:fill="FFFFFF"/>
          </w:tcPr>
          <w:p>
            <w:pPr>
              <w:spacing w:after="40" w:before="40" w:line="264" w:lineRule="auto"/>
            </w:pPr>
            <w:r>
              <w:rPr>
                <w:b w:val="0"/>
                <w:sz w:val="18"/>
              </w:rPr>
              <w:t>Бесплатные юридические консультации, подготовка документов и сопровождение реализации законных прав в рамках уставных целей Фонда.</w:t>
            </w:r>
          </w:p>
        </w:tc>
      </w:tr>
      <w:tr>
        <w:trPr>
          <w:cantSplit/>
        </w:trPr>
        <w:tc>
          <w:tcPr>
            <w:tcW w:type="dxa" w:w="2551"/>
            <w:vAlign w:val="center"/>
            <w:tcMar>
              <w:top w:w="60" w:type="dxa"/>
              <w:bottom w:w="60" w:type="dxa"/>
              <w:left w:w="100" w:type="dxa"/>
              <w:right w:w="100" w:type="dxa"/>
            </w:tcMar>
            <w:shd w:fill="F8F9F8"/>
          </w:tcPr>
          <w:p>
            <w:pPr>
              <w:spacing w:after="40" w:before="40" w:line="264" w:lineRule="auto"/>
            </w:pPr>
            <w:r>
              <w:rPr>
                <w:b w:val="0"/>
                <w:sz w:val="18"/>
              </w:rPr>
              <w:t>Бытовые условия</w:t>
            </w:r>
          </w:p>
        </w:tc>
        <w:tc>
          <w:tcPr>
            <w:tcW w:type="dxa" w:w="7087"/>
            <w:vAlign w:val="center"/>
            <w:tcMar>
              <w:top w:w="60" w:type="dxa"/>
              <w:bottom w:w="60" w:type="dxa"/>
              <w:left w:w="100" w:type="dxa"/>
              <w:right w:w="100" w:type="dxa"/>
            </w:tcMar>
            <w:shd w:fill="F8F9F8"/>
          </w:tcPr>
          <w:p>
            <w:pPr>
              <w:spacing w:after="40" w:before="40" w:line="264" w:lineRule="auto"/>
            </w:pPr>
            <w:r>
              <w:rPr>
                <w:b w:val="0"/>
                <w:sz w:val="18"/>
              </w:rPr>
              <w:t>Приобретение обычной бытовой техники и мебели; ремонт или адаптация жилья; услуги бытовой помощи и ухода. Состав конкретного проекта и стоимость утверждаются до финансирования.</w:t>
            </w:r>
          </w:p>
        </w:tc>
      </w:tr>
    </w:tbl>
    <w:p>
      <w:pPr>
        <w:spacing w:after="0"/>
      </w:pPr>
    </w:p>
    <w:p>
      <w:r>
        <w:t>5.1. Помощь предоставляется однократно или периодически: переводом на банковский счёт получателя, выдачей наличных по кассовым правилам, передачей имущества, прямой оплатой товаров или услуг в интересах получателя либо организацией бесплатных услуг. Формы могут сочетаться.</w:t>
      </w:r>
    </w:p>
    <w:p>
      <w:r>
        <w:t>5.2. При обычной поддержке в решении и соглашении указывается широкое, но определённое назначение: «благотворительная помощь на личные и семейные повседневные расходы в рамках программы поддержки участников и ветеранов СВО и членов их семей». Получатель выбирает расходы внутри этого назначения самостоятельно.</w:t>
      </w:r>
    </w:p>
    <w:p>
      <w:r>
        <w:t>5.3. По обычной поддержке отдельный отчёт о каждой покупке, сбор кассовых чеков и авансовый отчёт получателя не требуются, если иное прямо не предусмотрено согласованными условиями источника средств. Фонд подтверждает категорию, решение и передачу помощи; это не разрешение использовать деньги за пределами назначения.</w:t>
      </w:r>
    </w:p>
    <w:p>
      <w:r>
        <w:t>5.4. Для конкретной цели до передачи средств определяются предмет помощи, сумма, срок использования, способ подтверждения результата и порядок действий с остатком. При прямой оплате поставщику Фонд получает документы о приобретении и оказании услуги или передаче товара.</w:t>
      </w:r>
    </w:p>
    <w:p>
      <w:r>
        <w:t>5.5. Помощь безвозмездна и не обусловливается работой, услугами, рекламой, участием в мероприятиях или публичным рассказом получателя. Программа финансирует личную и семейную социальную поддержку; закупки для выполнения боевых задач в её направления не входят.</w:t>
      </w:r>
    </w:p>
    <w:p>
      <w:pPr>
        <w:pStyle w:val="Heading1"/>
        <w:pageBreakBefore/>
      </w:pPr>
      <w:r>
        <w:t>6 Рассмотрение обращений и назначение помощи</w:t>
      </w:r>
    </w:p>
    <w:p>
      <w:r>
        <w:t>6.1. Обратиться может получатель, его представитель либо организация, рекомендующая получателя. При инициативе Фонда или поступлении списка от другой организации до выдачи помощи устанавливаются личность, категория и согласие каждого получателя. Отдельное бумажное заявление не обязательно, если необходимые сведения и волеизъявление включены в подписанное соглашение.</w:t>
      </w:r>
    </w:p>
    <w:p>
      <w:r>
        <w:t>6.2. Директор организует приём и проверку документов. В обращении указываются ФИО и необходимые идентификационные данные, категория, контакт для связи, направление помощи, запрашиваемая форма и сумма либо состав имущества; при перечислении — реквизиты счёта. Объяснять причины недостатка средств не требуется.</w:t>
      </w:r>
    </w:p>
    <w:p>
      <w:r>
        <w:t>6.3. Полное обращение рассматривается в течение 5 рабочих дней. При срочной медицинской или иной объективно неотложной ситуации — по возможности в день обращения после обязательных проверок. О недостающих сведениях сообщается в течение 3 рабочих дней; срок рассмотрения исчисляется после их получения.</w:t>
      </w:r>
    </w:p>
    <w:p>
      <w:r>
        <w:t>6.4. Директор принимает решения о помощи самостоятельно в пределах утверждённой сметы и доступных средств. Фиксированный максимум одной выплаты и общей помощи одному получателю не устанавливается. Отдельное решение Совета по обычной выплате только из-за её размера и отдельная комиссия для обычных выплат не требуются. Изменения сметы, направлений программы и заинтересованные сделки передаются Совету в установленном порядке.</w:t>
      </w:r>
    </w:p>
    <w:p>
      <w:pPr>
        <w:pStyle w:val="Heading2"/>
      </w:pPr>
      <w:r>
        <w:t>Размер и очередность</w:t>
      </w:r>
    </w:p>
    <w:p>
      <w:r>
        <w:t>6.5. Размер помощи определяется Директором исходя из назначения, формы и состава помощи, подтверждённой стоимости конкретной цели, доступных средств и обязательств перед другими получателями. Основание выбранной суммы фиксируется в решении. Доходы и имущество не оцениваются. Для отдельных мероприятий Совет может утвердить одинаковые выплаты.</w:t>
      </w:r>
    </w:p>
    <w:p>
      <w:r>
        <w:t>6.6. При ограниченности средств сначала исполняются ранее принятые обязательства, затем — обращения, промедление по которым создаёт подтверждённый риск для здоровья или срыва назначенного лечения. Остальные полные обращения рассматриваются в порядке поступления. В пределах целевого источника соблюдается круг получателей, определённый жертвователем.</w:t>
      </w:r>
    </w:p>
    <w:p>
      <w:r>
        <w:t>6.7. Полученные государственные выплаты и обычная помощь других лиц не уменьшают автоматически помощь Фонда. Проверка иных источников допустима для исключения повторного возмещения одного и того же конкретного расхода; она не является проверкой нуждаемости.</w:t>
      </w:r>
    </w:p>
    <w:p>
      <w:pPr>
        <w:pStyle w:val="Heading2"/>
      </w:pPr>
      <w:r>
        <w:t>Решение и отказ</w:t>
      </w:r>
    </w:p>
    <w:p>
      <w:r>
        <w:t>6.8. В решении фиксируются получатель, подтверждённая категория, направление и назначение, сумма или имущество, форма передачи, источник, статья сметы, сроки, условия подтверждения использования и лицо, одобрившее помощь. Решение может быть частью единой формы или общего реестра с индивидуальной записью по каждому получателю.</w:t>
      </w:r>
    </w:p>
    <w:p>
      <w:r>
        <w:t>6.9. Основания отказа: неподтверждённая категория после запроса уточнений; несовместимое с программой назначение; существенные недостоверные сведения; отсутствие доступного финансирования; повторная заявка на уже полностью возмещённый расход; установленный законом запрет. При временном отсутствии средств допустима очередь с уведомлением заявителя.</w:t>
      </w:r>
    </w:p>
    <w:p>
      <w:r>
        <w:t>6.10. Причина отказа сообщается заявителю. Наличие работы, достаток семьи, отсутствие статуса малоимущего или трудной жизненной ситуации не являются основаниями отказа. Заявитель вправе представить уточнения или попросить Совет пересмотреть решение; обращение о пересмотре рассматривается в течение 15 рабочих дней.</w:t>
      </w:r>
    </w:p>
    <w:p>
      <w:pPr>
        <w:pStyle w:val="Heading1"/>
        <w:pageBreakBefore/>
      </w:pPr>
      <w:r>
        <w:t>7 Передача помощи и подтверждение расходов</w:t>
      </w:r>
    </w:p>
    <w:p>
      <w:r>
        <w:t>7.1. Условия передачи фиксируются письменно до выплаты или одновременно с ней. Заявление, условия соглашения и решение Фонда разрешается объединить в один документ. Для помощи ребёнку, представительства и конкретной цели вносятся соответствующие условия. Обещание будущих выплат допускается только в пределах отдельно одобренного обязательства.</w:t>
      </w:r>
    </w:p>
    <w:p>
      <w:r>
        <w:t>7.2. Безналичная помощь перечисляется со счёта Фонда на счёт получателя либо надлежащим образом оформленного представителя. Назначение платежа содержит слова «благотворительная помощь», наименование программы, номер и дату соглашения. Медицинские диагнозы в платёж не включаются. Исполнение подтверждается банковской выпиской и платёжным документом.</w:t>
      </w:r>
    </w:p>
    <w:p>
      <w:r>
        <w:t>7.3. При выдаче наличных оформляются расходный кассовый ордер, подпись надлежащего получателя и записи кассовой книги в соответствии с действующими кассовыми правилами. Конверт служит только упаковкой и не заменяет документы. Снятие денег со счёта или передача сотруднику ещё не подтверждают получение помощи благополучателем.</w:t>
      </w:r>
    </w:p>
    <w:p>
      <w:r>
        <w:t>7.4. Передача имущества подтверждается актом или иным первичным документом с наименованием, количеством, стоимостью для учёта и подписью получателя. При оплате поставщику сохраняются договор, счёт, платёж и документы об исполнении в интересах конкретного получателя.</w:t>
      </w:r>
    </w:p>
    <w:p>
      <w:r>
        <w:t>7.5. По конкретной цели срок и состав отчёта устанавливаются соглашением. Достаточны краткое подтверждение результата и относящиеся к нему документы. По обычной поддержке применяется пункт 5.3; Фонд не требует от благополучателя авансового отчёта как от подотчётного сотрудника.</w:t>
      </w:r>
    </w:p>
    <w:p>
      <w:r>
        <w:t>7.6. При невозможности использования по назначению получатель уведомляет Фонд до расходования на другую цель. Остаток возвращается либо новое назначение предварительно согласуется письменно с соблюдением условий первоначального жертвователя и закона. Недостоверные сведения и доказанное нецелевое использование рассматриваются индивидуально; пропуск срока отчёта сам по себе не доказывает нецелевое использование.</w:t>
      </w:r>
    </w:p>
    <w:p>
      <w:pPr>
        <w:pStyle w:val="Heading1"/>
        <w:pageBreakBefore/>
      </w:pPr>
      <w:r>
        <w:t>8 Финансирование и полномочия</w:t>
      </w:r>
    </w:p>
    <w:p>
      <w:pPr/>
      <w:r>
        <w:t>8.1. Программа является приоритетной при распределении средств Фонда. Все пожертвования на общие уставные благотворительные цели в части, доступной для программной деятельности, в первую очередь направляются на её финансирование. До утверждения других программ эта программа является единственным направлением распределения таких средств на благотворительные программы.</w:t>
      </w:r>
    </w:p>
    <w:p>
      <w:pPr/>
      <w:r>
        <w:t>8.2. Пожертвования на данную программу, помощь участникам и ветеранам СВО, определённого получателя или конкретный сбор расходуются в соответствии с назначением, условиями и сроками жертвователя. Средства на несовместимые цели не включаются в финансирование программы. По каждому целевому источнику ведётся обособленный учёт.</w:t>
      </w:r>
    </w:p>
    <w:p>
      <w:pPr/>
      <w:r>
        <w:t>8.3. Бюджет программы на весь срок её реализации не ограничивается неизменной суммой и зависит от добровольных пожертвований физических и юридических лиц и доступных остатков. Смета содержит плановые суммы поступлений и расходов; Совет утверждает её вместе с программой и корректирует по предложениям Директора. Обязательства и расходы допускаются в пределах действующей сметы и доступных средств допустимого назначения.</w:t>
      </w:r>
    </w:p>
    <w:p>
      <w:pPr/>
      <w:r>
        <w:t>8.4. Пока действует программа, в первую очередь финансируются одобренная помощь, принятые обязательства и мероприятия её текущего утверждённого плана. Необходимые расходы на исполнение программы и деятельность Фонда предусматриваются финансовым планом и сметой с соблюдением условий источников. Автоматическое удержание определённого процента пожертвований на содержание Фонда не устанавливается.</w:t>
      </w:r>
    </w:p>
    <w:p>
      <w:pPr/>
      <w:r>
        <w:t>8.5. После утверждения новой благотворительной программы свободный остаток пожертвований на общие уставные цели направляется на её финансирование по решению Совета с соответствующим изменением смет и финансового плана. Приоритет данной программы сохраняется. Само появление новой программы не изменяет распределение средств без такого решения.</w:t>
      </w:r>
    </w:p>
    <w:p>
      <w:pPr/>
      <w:r>
        <w:t>8.6. Свободным остатком признаётся часть общих средств, не связанная условиями жертвователей, принятыми обязательствами, одобренной помощью, необходимыми расходами и средствами, предусмотренными для продолжения приоритетной программы по текущему плану. Размер остатка Совет определяет на основании расчёта Директора. Не требуется предварительно удовлетворять все возможные будущие обращения; ранее принятые обязательства должны быть обеспечены.</w:t>
      </w:r>
    </w:p>
    <w:p>
      <w:pPr/>
      <w:r>
        <w:t>8.7. Остатки целевых пожертвований могут финансировать другую программу только при сохранении согласованного назначения и отсутствии договорного запрета либо после надлежащего изменения назначения по статье 582 ГК РФ. Перевод на другую цель не производится лишь на основании решения Совета, молчания жертвователя или отсутствия его контактов. Новые условия сборов не изменяют ранее принятые пожертвования.</w:t>
      </w:r>
    </w:p>
    <w:p>
      <w:pPr/>
      <w:r>
        <w:t>8.8. В новых общих сборах указывается назначение «на уставную благотворительную деятельность Фонда» с приоритетом данной программы и возможностью использования свободного остатка на другие утверждённые программы. Эти условия должны быть доступны жертвователю до платежа. При выборе им более узкого назначения оно сохраняет силу. Директор обеспечивает согласованность оферты, описания сбора и платёжной формы.</w:t>
      </w:r>
    </w:p>
    <w:p>
      <w:pPr/>
      <w:r>
        <w:t>8.9. Совет утверждает изменения программы, годовой план и бюджет Фонда. Соблюдаются статьи 16 и 17 Закона № 135-ФЗ, включая сроки использования пожертвований и ограничения оплаты труда административно-управленческого персонала, а также условия жертвователей. Полномочия Директора определены пунктами 6.4, 6.5 и 10.3.</w:t>
      </w:r>
    </w:p>
    <w:p>
      <w:pPr>
        <w:pStyle w:val="Heading1"/>
        <w:pageBreakBefore/>
      </w:pPr>
      <w:r>
        <w:t>9 Учёт контроль и защита сведений</w:t>
      </w:r>
    </w:p>
    <w:p>
      <w:r>
        <w:t>9.1. По каждому случаю в учётной системе сохраняются сведения о получателе и категории, основании проверки, назначении, решении, источнике, сумме, дате передачи, подтверждающем документе и возвратах. Реестр может быть электронным; отдельный дублирующий бумажный журнал не требуется. Первичные документы сохраняются по правилам бухгалтерского учёта.</w:t>
      </w:r>
    </w:p>
    <w:p>
      <w:r>
        <w:t>9.2. Директор ежегодно представляет Совету сведения о реализации программы в составе годового отчёта Фонда не позднее трёх месяцев после окончания финансового года, а также по запросу Совета в установленный им срок. Отчёт включает число уникальных получателей и семей, количество оказанных мер помощи, суммы по направлениям, расходы на обеспечение, остатки, возвраты и результаты контроля. Итоговый отчёт представляется в течение 30 календарных дней после окончания программы. При совпадении периода и состава сведений допускается единый документ с соблюдением обоих сроков. Дополнительные отчёты и показатели по целевым источникам представляются в соответствии с условиями их предоставления.</w:t>
      </w:r>
    </w:p>
    <w:p>
      <w:r>
        <w:t>9.3. Результативность оценивается по фактически оказанной поддержке: числу получателей, объёму помощи, исполнению заявленных целей, срокам рассмотрения и обращениям за пересмотром. Обязательные плановые значения количества получателей, семей и мер помощи программой не устанавливаются, кроме показателей, принятых по условиям конкретного источника финансирования. Изменение доходов, выход из малоимущности и оценка бедности показателями программы не являются.</w:t>
      </w:r>
    </w:p>
    <w:p>
      <w:r>
        <w:t>9.4. Обязательная отчётность Фонда и публичный отчёт об использовании имущества ведутся отдельно по требованиям законодательства. Публичные результаты программы приводятся в обезличенном виде. Фотографии, диагнозы и личные истории не являются обязательным подтверждением получения помощи.</w:t>
      </w:r>
    </w:p>
    <w:p>
      <w:r>
        <w:t>9.5. Фонд обрабатывает только необходимые персональные данные на предусмотренном законом основании. Если требуется согласие, оно оформляется отдельно от иных подписываемых документов. Для сведений о здоровье и распространения данных применяются соответствующие специальные требования. Отказ от публикации истории или фотографии не влияет на решение о помощи.</w:t>
      </w:r>
    </w:p>
    <w:p>
      <w:r>
        <w:t>9.6. Доступ к делам предоставляется по служебной необходимости. Сроки хранения определяются законодательством об учёте, архивах и персональных данных, номенклатурой дел и условиями финансирования. Избыточные сведения не собираются; жертвователям персональные данные передаются лишь при самостоятельном законном основании.</w:t>
      </w:r>
    </w:p>
    <w:p>
      <w:r>
        <w:t>9.7. Заинтересованные лица раскрывают конфликт интересов до решения. Решение и одобрение сделки осуществляются компетентным органом по закону и Уставу. Директор не одобряет помощь себе в обычном порядке. Учредителям и связанным лицам не предоставляются преимущества перед другими получателями.</w:t>
      </w:r>
    </w:p>
    <w:p>
      <w:pPr>
        <w:pStyle w:val="Heading1"/>
        <w:pageBreakBefore/>
      </w:pPr>
      <w:r>
        <w:t>10 Сроки этапы и организация исполнения</w:t>
      </w:r>
    </w:p>
    <w:p>
      <w:r>
        <w:t>10.1. Программа и заполненная смета поступлений и расходов утверждаются одним решением Совета Фонда, оформленным протоколом. Программа действует 12 месяцев со дня утверждения. Продление и смета на следующий период оформляются решением Совета. Ранее принятые обязательства, отчётность и возвраты исполняются и после окончания срока в согласованном порядке.</w:t>
      </w:r>
    </w:p>
    <w:p>
      <w:r>
        <w:t>10.2. Директор до первой выплаты приводит заявления и соглашения в соответствие с программой: исключает вопросы о доходах и нуждаемости, сохраняет категорию получателя, назначение, условия передачи и необходимые подтверждения. Для помощи по этой программе не применяются положения иных внутренних документов, требующие подтверждения малообеспеченности, недостатка собственных средств, трудной жизненной ситуации или приоритета по доходам. Это правило не отменяет требований закона и действительных условий жертвователя. Изменения технических полей допускаются без изменения утверждённых Советом условий.</w:t>
      </w:r>
    </w:p>
    <w:p>
      <w:r>
        <w:t>10.3. Руководство программой осуществляет Директор Фонда. Распределение функций приёма и проверки обращений, исполнения платежей, контроля назначения помощи, отчётов и возвратов оформляется приказом Директора. Бухгалтерский учёт ведётся лицом, уполномоченным в установленном законом порядке. Совмещение функций допускается при надлежащем оформлении полномочий.</w:t>
      </w:r>
    </w:p>
    <w:p>
      <w:r>
        <w:t>10.4. Этапы и сроки реализации программы:</w:t>
      </w:r>
    </w:p>
    <w:p>
      <w:pPr/>
      <w:r>
        <w:t>10.4.1. Подготовка — в течение первых 5 рабочих дней со дня утверждения программы и до первой выплаты, с соблюдением сроков пункта 6.3. На этом этапе распределяются функции, подготавливаются формы документов, проверяются источники финансирования и организуется исполнение утверждённой сметы.</w:t>
      </w:r>
    </w:p>
    <w:p>
      <w:pPr/>
      <w:r>
        <w:t>10.4.2. Приём обращений — со дня утверждения и в течение срока программы. Назначение и передача помощи осуществляются после завершения подготовки, по правилам разделов 4–7.</w:t>
      </w:r>
    </w:p>
    <w:p>
      <w:pPr/>
      <w:r>
        <w:t>10.4.3. Текущий контроль — по каждой операции; сверка учёта, остатков и исполнения сметы проводится ежемесячно. Проверяются передача помощи, исполнение конкретных целей, возвраты и принятые обязательства.</w:t>
      </w:r>
    </w:p>
    <w:p>
      <w:pPr/>
      <w:r>
        <w:t>10.4.4. Отчётность Совету — ежегодно и по запросу Совета в порядке и сроки пункта 9.2.</w:t>
      </w:r>
    </w:p>
    <w:p>
      <w:pPr/>
      <w:r>
        <w:t>10.4.5. Завершение — по истечении 12 месяцев со дня утверждения. Итоговый отчёт представляется в следующие 30 календарных дней. Совет принимает решения о продолжении программы, обеспечении обязательств и допустимом использовании остатков.</w:t>
      </w:r>
    </w:p>
    <w:p>
      <w:pPr/>
      <w:r>
        <w:t>10.5. Смета поступлений и расходов (приложение) является неотъемлемой частью программы.</w:t>
      </w:r>
    </w:p>
    <w:p>
      <w:pPr>
        <w:pStyle w:val="Subtitle"/>
        <w:pageBreakBefore/>
      </w:pPr>
      <w:r>
        <w:t>Приложение</w:t>
      </w:r>
    </w:p>
    <w:p>
      <w:pPr>
        <w:pStyle w:val="Heading1"/>
      </w:pPr>
      <w:r>
        <w:t>Смета поступлений и расходов</w:t>
      </w:r>
    </w:p>
    <w:p>
      <w:r>
        <w:t>Период: 12 месяцев со дня утверждения программы. Суммы — в рублях.</w:t>
        <w:br/>
        <w:t>Смета утверждается одновременно с программой и является её неотъемлемой частью.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427"/>
        <w:gridCol w:w="2211"/>
      </w:tblGrid>
      <w:tr>
        <w:trPr>
          <w:cantSplit/>
          <w:tblHeader/>
        </w:trPr>
        <w:tc>
          <w:tcPr>
            <w:tcW w:type="dxa" w:w="7427"/>
            <w:vAlign w:val="center"/>
            <w:tcMar>
              <w:top w:w="60" w:type="dxa"/>
              <w:bottom w:w="60" w:type="dxa"/>
              <w:left w:w="100" w:type="dxa"/>
              <w:right w:w="100" w:type="dxa"/>
            </w:tcMar>
            <w:shd w:fill="E9ECEA"/>
          </w:tcPr>
          <w:p>
            <w:pPr>
              <w:spacing w:after="40" w:before="40" w:line="264" w:lineRule="auto"/>
            </w:pPr>
            <w:r>
              <w:rPr>
                <w:b/>
                <w:sz w:val="18"/>
              </w:rPr>
              <w:t>Поступления и доступные средства</w:t>
            </w:r>
          </w:p>
        </w:tc>
        <w:tc>
          <w:tcPr>
            <w:tcW w:type="dxa" w:w="2211"/>
            <w:vAlign w:val="center"/>
            <w:tcMar>
              <w:top w:w="60" w:type="dxa"/>
              <w:bottom w:w="60" w:type="dxa"/>
              <w:left w:w="100" w:type="dxa"/>
              <w:right w:w="100" w:type="dxa"/>
            </w:tcMar>
            <w:shd w:fill="E9ECEA"/>
          </w:tcPr>
          <w:p>
            <w:pPr>
              <w:spacing w:after="40" w:before="40" w:line="264" w:lineRule="auto"/>
            </w:pPr>
            <w:r>
              <w:rPr>
                <w:b/>
                <w:sz w:val="18"/>
              </w:rPr>
              <w:t>План</w:t>
            </w:r>
          </w:p>
        </w:tc>
      </w:tr>
      <w:tr>
        <w:trPr>
          <w:cantSplit/>
        </w:trPr>
        <w:tc>
          <w:tcPr>
            <w:tcW w:type="dxa" w:w="7427"/>
            <w:vAlign w:val="center"/>
            <w:tcMar>
              <w:top w:w="60" w:type="dxa"/>
              <w:bottom w:w="60" w:type="dxa"/>
              <w:left w:w="100" w:type="dxa"/>
              <w:right w:w="100" w:type="dxa"/>
            </w:tcMar>
            <w:shd w:fill="FFFFFF"/>
          </w:tcPr>
          <w:p>
            <w:pPr>
              <w:spacing w:after="40" w:before="40" w:line="264" w:lineRule="auto"/>
            </w:pPr>
            <w:r>
              <w:rPr>
                <w:b w:val="0"/>
                <w:sz w:val="18"/>
              </w:rPr>
              <w:t>Начальный остаток средств, допустимый для программы</w:t>
            </w:r>
          </w:p>
        </w:tc>
        <w:tc>
          <w:tcPr>
            <w:tcW w:type="dxa" w:w="2211"/>
            <w:vAlign w:val="center"/>
            <w:tcMar>
              <w:top w:w="60" w:type="dxa"/>
              <w:bottom w:w="60" w:type="dxa"/>
              <w:left w:w="100" w:type="dxa"/>
              <w:right w:w="100" w:type="dxa"/>
            </w:tcMar>
            <w:shd w:fill="FFFFFF"/>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8F9F8"/>
          </w:tcPr>
          <w:p>
            <w:pPr>
              <w:spacing w:after="40" w:before="40" w:line="264" w:lineRule="auto"/>
            </w:pPr>
            <w:r>
              <w:rPr>
                <w:b w:val="0"/>
                <w:sz w:val="18"/>
              </w:rPr>
              <w:t>Общие пожертвования, приоритетно направляемые программе</w:t>
            </w:r>
          </w:p>
        </w:tc>
        <w:tc>
          <w:tcPr>
            <w:tcW w:type="dxa" w:w="2211"/>
            <w:vAlign w:val="center"/>
            <w:tcMar>
              <w:top w:w="60" w:type="dxa"/>
              <w:bottom w:w="60" w:type="dxa"/>
              <w:left w:w="100" w:type="dxa"/>
              <w:right w:w="100" w:type="dxa"/>
            </w:tcMar>
            <w:shd w:fill="F8F9F8"/>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FFFFF"/>
          </w:tcPr>
          <w:p>
            <w:pPr>
              <w:spacing w:after="40" w:before="40" w:line="264" w:lineRule="auto"/>
            </w:pPr>
            <w:r>
              <w:rPr>
                <w:b w:val="0"/>
                <w:sz w:val="18"/>
              </w:rPr>
              <w:t>Целевые пожертвования на программу</w:t>
            </w:r>
          </w:p>
        </w:tc>
        <w:tc>
          <w:tcPr>
            <w:tcW w:type="dxa" w:w="2211"/>
            <w:vAlign w:val="center"/>
            <w:tcMar>
              <w:top w:w="60" w:type="dxa"/>
              <w:bottom w:w="60" w:type="dxa"/>
              <w:left w:w="100" w:type="dxa"/>
              <w:right w:w="100" w:type="dxa"/>
            </w:tcMar>
            <w:shd w:fill="FFFFFF"/>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8F9F8"/>
          </w:tcPr>
          <w:p>
            <w:pPr>
              <w:spacing w:after="40" w:before="40" w:line="264" w:lineRule="auto"/>
            </w:pPr>
            <w:r>
              <w:rPr>
                <w:b w:val="0"/>
                <w:sz w:val="18"/>
              </w:rPr>
              <w:t>Всего доступное и предполагаемое финансирование</w:t>
            </w:r>
          </w:p>
        </w:tc>
        <w:tc>
          <w:tcPr>
            <w:tcW w:type="dxa" w:w="2211"/>
            <w:vAlign w:val="center"/>
            <w:tcMar>
              <w:top w:w="60" w:type="dxa"/>
              <w:bottom w:w="60" w:type="dxa"/>
              <w:left w:w="100" w:type="dxa"/>
              <w:right w:w="100" w:type="dxa"/>
            </w:tcMar>
            <w:shd w:fill="F8F9F8"/>
          </w:tcPr>
          <w:p>
            <w:pPr>
              <w:spacing w:after="40" w:before="40" w:line="264" w:lineRule="auto"/>
            </w:pPr>
            <w:r>
              <w:rPr>
                <w:b w:val="0"/>
                <w:sz w:val="18"/>
              </w:rPr>
              <w:t>____________</w:t>
            </w:r>
          </w:p>
        </w:tc>
      </w:tr>
    </w:tbl>
    <w:p>
      <w:pPr>
        <w:spacing w:after="0"/>
      </w:pP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427"/>
        <w:gridCol w:w="2211"/>
      </w:tblGrid>
      <w:tr>
        <w:trPr>
          <w:cantSplit/>
          <w:tblHeader/>
        </w:trPr>
        <w:tc>
          <w:tcPr>
            <w:tcW w:type="dxa" w:w="7427"/>
            <w:vAlign w:val="center"/>
            <w:tcMar>
              <w:top w:w="60" w:type="dxa"/>
              <w:bottom w:w="60" w:type="dxa"/>
              <w:left w:w="100" w:type="dxa"/>
              <w:right w:w="100" w:type="dxa"/>
            </w:tcMar>
            <w:shd w:fill="E9ECEA"/>
          </w:tcPr>
          <w:p>
            <w:pPr>
              <w:spacing w:after="40" w:before="40" w:line="264" w:lineRule="auto"/>
            </w:pPr>
            <w:r>
              <w:rPr>
                <w:b/>
                <w:sz w:val="18"/>
              </w:rPr>
              <w:t>Планируемые расходы</w:t>
            </w:r>
          </w:p>
        </w:tc>
        <w:tc>
          <w:tcPr>
            <w:tcW w:type="dxa" w:w="2211"/>
            <w:vAlign w:val="center"/>
            <w:tcMar>
              <w:top w:w="60" w:type="dxa"/>
              <w:bottom w:w="60" w:type="dxa"/>
              <w:left w:w="100" w:type="dxa"/>
              <w:right w:w="100" w:type="dxa"/>
            </w:tcMar>
            <w:shd w:fill="E9ECEA"/>
          </w:tcPr>
          <w:p>
            <w:pPr>
              <w:spacing w:after="40" w:before="40" w:line="264" w:lineRule="auto"/>
            </w:pPr>
            <w:r>
              <w:rPr>
                <w:b/>
                <w:sz w:val="18"/>
              </w:rPr>
              <w:t>План</w:t>
            </w:r>
          </w:p>
        </w:tc>
      </w:tr>
      <w:tr>
        <w:trPr>
          <w:cantSplit/>
        </w:trPr>
        <w:tc>
          <w:tcPr>
            <w:tcW w:type="dxa" w:w="7427"/>
            <w:vAlign w:val="center"/>
            <w:tcMar>
              <w:top w:w="60" w:type="dxa"/>
              <w:bottom w:w="60" w:type="dxa"/>
              <w:left w:w="100" w:type="dxa"/>
              <w:right w:w="100" w:type="dxa"/>
            </w:tcMar>
            <w:shd w:fill="FFFFFF"/>
          </w:tcPr>
          <w:p>
            <w:pPr>
              <w:spacing w:after="40" w:before="40" w:line="264" w:lineRule="auto"/>
            </w:pPr>
            <w:r>
              <w:rPr>
                <w:b w:val="0"/>
                <w:sz w:val="18"/>
              </w:rPr>
              <w:t>Обычная денежная поддержка личных и семейных расходов</w:t>
            </w:r>
          </w:p>
        </w:tc>
        <w:tc>
          <w:tcPr>
            <w:tcW w:type="dxa" w:w="2211"/>
            <w:vAlign w:val="center"/>
            <w:tcMar>
              <w:top w:w="60" w:type="dxa"/>
              <w:bottom w:w="60" w:type="dxa"/>
              <w:left w:w="100" w:type="dxa"/>
              <w:right w:w="100" w:type="dxa"/>
            </w:tcMar>
            <w:shd w:fill="FFFFFF"/>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8F9F8"/>
          </w:tcPr>
          <w:p>
            <w:pPr>
              <w:spacing w:after="40" w:before="40" w:line="264" w:lineRule="auto"/>
            </w:pPr>
            <w:r>
              <w:rPr>
                <w:b w:val="0"/>
                <w:sz w:val="18"/>
              </w:rPr>
              <w:t>Натуральная помощь и бытовые условия</w:t>
            </w:r>
          </w:p>
        </w:tc>
        <w:tc>
          <w:tcPr>
            <w:tcW w:type="dxa" w:w="2211"/>
            <w:vAlign w:val="center"/>
            <w:tcMar>
              <w:top w:w="60" w:type="dxa"/>
              <w:bottom w:w="60" w:type="dxa"/>
              <w:left w:w="100" w:type="dxa"/>
              <w:right w:w="100" w:type="dxa"/>
            </w:tcMar>
            <w:shd w:fill="F8F9F8"/>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FFFFF"/>
          </w:tcPr>
          <w:p>
            <w:pPr>
              <w:spacing w:after="40" w:before="40" w:line="264" w:lineRule="auto"/>
            </w:pPr>
            <w:r>
              <w:rPr>
                <w:b w:val="0"/>
                <w:sz w:val="18"/>
              </w:rPr>
              <w:t>Лечение, реабилитация, уход и психологическая помощь</w:t>
            </w:r>
          </w:p>
        </w:tc>
        <w:tc>
          <w:tcPr>
            <w:tcW w:type="dxa" w:w="2211"/>
            <w:vAlign w:val="center"/>
            <w:tcMar>
              <w:top w:w="60" w:type="dxa"/>
              <w:bottom w:w="60" w:type="dxa"/>
              <w:left w:w="100" w:type="dxa"/>
              <w:right w:w="100" w:type="dxa"/>
            </w:tcMar>
            <w:shd w:fill="FFFFFF"/>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8F9F8"/>
          </w:tcPr>
          <w:p>
            <w:pPr>
              <w:spacing w:after="40" w:before="40" w:line="264" w:lineRule="auto"/>
            </w:pPr>
            <w:r>
              <w:rPr>
                <w:b w:val="0"/>
                <w:sz w:val="18"/>
              </w:rPr>
              <w:t>Поддержка семьи и детей</w:t>
            </w:r>
          </w:p>
        </w:tc>
        <w:tc>
          <w:tcPr>
            <w:tcW w:type="dxa" w:w="2211"/>
            <w:vAlign w:val="center"/>
            <w:tcMar>
              <w:top w:w="60" w:type="dxa"/>
              <w:bottom w:w="60" w:type="dxa"/>
              <w:left w:w="100" w:type="dxa"/>
              <w:right w:w="100" w:type="dxa"/>
            </w:tcMar>
            <w:shd w:fill="F8F9F8"/>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FFFFF"/>
          </w:tcPr>
          <w:p>
            <w:pPr>
              <w:spacing w:after="40" w:before="40" w:line="264" w:lineRule="auto"/>
            </w:pPr>
            <w:r>
              <w:rPr>
                <w:b w:val="0"/>
                <w:sz w:val="18"/>
              </w:rPr>
              <w:t>Образование, адаптация и правовая помощь</w:t>
            </w:r>
          </w:p>
        </w:tc>
        <w:tc>
          <w:tcPr>
            <w:tcW w:type="dxa" w:w="2211"/>
            <w:vAlign w:val="center"/>
            <w:tcMar>
              <w:top w:w="60" w:type="dxa"/>
              <w:bottom w:w="60" w:type="dxa"/>
              <w:left w:w="100" w:type="dxa"/>
              <w:right w:w="100" w:type="dxa"/>
            </w:tcMar>
            <w:shd w:fill="FFFFFF"/>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8F9F8"/>
          </w:tcPr>
          <w:p>
            <w:pPr>
              <w:spacing w:after="40" w:before="40" w:line="264" w:lineRule="auto"/>
            </w:pPr>
            <w:r>
              <w:rPr>
                <w:b w:val="0"/>
                <w:sz w:val="18"/>
              </w:rPr>
              <w:t>Доставка и иные прямые расходы исполнения помощи</w:t>
            </w:r>
          </w:p>
        </w:tc>
        <w:tc>
          <w:tcPr>
            <w:tcW w:type="dxa" w:w="2211"/>
            <w:vAlign w:val="center"/>
            <w:tcMar>
              <w:top w:w="60" w:type="dxa"/>
              <w:bottom w:w="60" w:type="dxa"/>
              <w:left w:w="100" w:type="dxa"/>
              <w:right w:w="100" w:type="dxa"/>
            </w:tcMar>
            <w:shd w:fill="F8F9F8"/>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FFFFF"/>
          </w:tcPr>
          <w:p>
            <w:pPr>
              <w:spacing w:after="40" w:before="40" w:line="264" w:lineRule="auto"/>
            </w:pPr>
            <w:r>
              <w:rPr>
                <w:b w:val="0"/>
                <w:sz w:val="18"/>
              </w:rPr>
              <w:t>Банковские комиссии по программе</w:t>
            </w:r>
          </w:p>
        </w:tc>
        <w:tc>
          <w:tcPr>
            <w:tcW w:type="dxa" w:w="2211"/>
            <w:vAlign w:val="center"/>
            <w:tcMar>
              <w:top w:w="60" w:type="dxa"/>
              <w:bottom w:w="60" w:type="dxa"/>
              <w:left w:w="100" w:type="dxa"/>
              <w:right w:w="100" w:type="dxa"/>
            </w:tcMar>
            <w:shd w:fill="FFFFFF"/>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8F9F8"/>
          </w:tcPr>
          <w:p>
            <w:pPr>
              <w:spacing w:after="40" w:before="40" w:line="264" w:lineRule="auto"/>
            </w:pPr>
            <w:r>
              <w:rPr>
                <w:b w:val="0"/>
                <w:sz w:val="18"/>
              </w:rPr>
              <w:t>Оплата труда лиц, участвующих в реализации программы</w:t>
            </w:r>
          </w:p>
        </w:tc>
        <w:tc>
          <w:tcPr>
            <w:tcW w:type="dxa" w:w="2211"/>
            <w:vAlign w:val="center"/>
            <w:tcMar>
              <w:top w:w="60" w:type="dxa"/>
              <w:bottom w:w="60" w:type="dxa"/>
              <w:left w:w="100" w:type="dxa"/>
              <w:right w:w="100" w:type="dxa"/>
            </w:tcMar>
            <w:shd w:fill="F8F9F8"/>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FFFFF"/>
          </w:tcPr>
          <w:p>
            <w:pPr>
              <w:spacing w:after="40" w:before="40" w:line="264" w:lineRule="auto"/>
            </w:pPr>
            <w:r>
              <w:rPr>
                <w:b w:val="0"/>
                <w:sz w:val="18"/>
              </w:rPr>
              <w:t>Страховые взносы с указанной оплаты труда</w:t>
            </w:r>
          </w:p>
        </w:tc>
        <w:tc>
          <w:tcPr>
            <w:tcW w:type="dxa" w:w="2211"/>
            <w:vAlign w:val="center"/>
            <w:tcMar>
              <w:top w:w="60" w:type="dxa"/>
              <w:bottom w:w="60" w:type="dxa"/>
              <w:left w:w="100" w:type="dxa"/>
              <w:right w:w="100" w:type="dxa"/>
            </w:tcMar>
            <w:shd w:fill="FFFFFF"/>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FFFFF"/>
          </w:tcPr>
          <w:p>
            <w:pPr>
              <w:spacing w:after="40" w:before="40" w:line="264" w:lineRule="auto"/>
            </w:pPr>
            <w:r>
              <w:rPr>
                <w:b w:val="0"/>
                <w:sz w:val="18"/>
              </w:rPr>
              <w:t>Всего планируемые расходы</w:t>
            </w:r>
          </w:p>
        </w:tc>
        <w:tc>
          <w:tcPr>
            <w:tcW w:type="dxa" w:w="2211"/>
            <w:vAlign w:val="center"/>
            <w:tcMar>
              <w:top w:w="60" w:type="dxa"/>
              <w:bottom w:w="60" w:type="dxa"/>
              <w:left w:w="100" w:type="dxa"/>
              <w:right w:w="100" w:type="dxa"/>
            </w:tcMar>
            <w:shd w:fill="FFFFFF"/>
          </w:tcPr>
          <w:p>
            <w:pPr>
              <w:spacing w:after="40" w:before="40" w:line="264" w:lineRule="auto"/>
            </w:pPr>
            <w:r>
              <w:rPr>
                <w:b w:val="0"/>
                <w:sz w:val="18"/>
              </w:rPr>
              <w:t>____________</w:t>
            </w:r>
          </w:p>
        </w:tc>
      </w:tr>
      <w:tr>
        <w:trPr>
          <w:cantSplit/>
        </w:trPr>
        <w:tc>
          <w:tcPr>
            <w:tcW w:type="dxa" w:w="7427"/>
            <w:vAlign w:val="center"/>
            <w:tcMar>
              <w:top w:w="60" w:type="dxa"/>
              <w:bottom w:w="60" w:type="dxa"/>
              <w:left w:w="100" w:type="dxa"/>
              <w:right w:w="100" w:type="dxa"/>
            </w:tcMar>
            <w:shd w:fill="F8F9F8"/>
          </w:tcPr>
          <w:p>
            <w:pPr>
              <w:spacing w:after="40" w:before="40" w:line="264" w:lineRule="auto"/>
            </w:pPr>
            <w:r>
              <w:rPr>
                <w:b w:val="0"/>
                <w:sz w:val="18"/>
              </w:rPr>
              <w:t>Плановый остаток с распределением по пунктам 8.5–8.7</w:t>
            </w:r>
          </w:p>
        </w:tc>
        <w:tc>
          <w:tcPr>
            <w:tcW w:type="dxa" w:w="2211"/>
            <w:vAlign w:val="center"/>
            <w:tcMar>
              <w:top w:w="60" w:type="dxa"/>
              <w:bottom w:w="60" w:type="dxa"/>
              <w:left w:w="100" w:type="dxa"/>
              <w:right w:w="100" w:type="dxa"/>
            </w:tcMar>
            <w:shd w:fill="F8F9F8"/>
          </w:tcPr>
          <w:p>
            <w:pPr>
              <w:spacing w:after="40" w:before="40" w:line="264" w:lineRule="auto"/>
            </w:pPr>
            <w:r>
              <w:rPr>
                <w:b w:val="0"/>
                <w:sz w:val="18"/>
              </w:rPr>
              <w:t>____________</w:t>
            </w:r>
          </w:p>
        </w:tc>
      </w:tr>
    </w:tbl>
    <w:p>
      <w:pPr>
        <w:spacing w:after="0"/>
      </w:pPr>
    </w:p>
    <w:p>
      <w:r>
        <w:t>1. До утверждения сметы в каждой строке указывается плановая сумма в рублях, включая ноль при отсутствии планируемых поступлений или расходов по статье. Финансирование равно сумме расходов и планового остатка. Прогноз поступлений не заменяет фактически доступные средства. Смета не устанавливает неизменный предел программы: изменения утверждаются Советом по пункту 8.3. Повторный учёт одного расхода не допускается.</w:t>
      </w:r>
    </w:p>
    <w:p>
      <w:r>
        <w:t>2. Свободный остаток общих средств распределяется на другие утверждённые программы по пунктам 8.5 и 8.6. Целевые остатки сохраняют назначение; для них действует пункт 8.7. Сроки использования и обязательства по каждому источнику проверяются отдельно.</w:t>
      </w:r>
    </w:p>
    <w:p>
      <w:r>
        <w:t>3. Расходы на обеспечение подтверждаются их фактической связью с программой. Административные расходы отражаются по своему действительному характеру в финансовом плане Фонда. При появлении иных допустимых источников или необходимых расходов Совет дополняет смету соответствующими статьями до принятия обязательств и расходов за её пределами.</w:t>
      </w:r>
    </w:p>
    <w:sectPr w:rsidR="00FC693F" w:rsidRPr="0006063C" w:rsidSect="00034616">
      <w:footerReference w:type="default" r:id="rId9"/>
      <w:pgSz w:w="11906" w:h="16838"/>
      <w:pgMar w:top="1020" w:right="1134" w:bottom="1020" w:left="113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17064"/>
        <w:sz w:val="16"/>
      </w:rPr>
      <w:t xml:space="preserve">Плечом к плечу  •  Программа поддержки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6" w:lineRule="auto" w:after="100"/>
    </w:pPr>
    <w:rPr>
      <w:rFonts w:ascii="DejaVu Sans" w:hAnsi="DejaVu Sans" w:eastAsia="DejaVu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DejaVu Sans" w:hAnsi="DejaVu Sans" w:eastAsia="DejaVu San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0"/>
      <w:outlineLvl w:val="1"/>
    </w:pPr>
    <w:rPr>
      <w:rFonts w:asciiTheme="majorHAnsi" w:eastAsiaTheme="majorEastAsia" w:hAnsiTheme="majorHAnsi" w:cstheme="majorBidi" w:ascii="DejaVu Sans" w:hAnsi="DejaVu Sans" w:eastAsia="DejaVu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DejaVu Sans" w:hAnsi="DejaVu Sans" w:eastAsia="DejaVu Sans"/>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поддержки участников и ветеранов СВО и членов их семей</dc:title>
  <dc:subject>Поддержка без оценки нуждаемости и фиксированного максимума помощи</dc:subject>
  <dc:creator>Благотворительный фонд «Плечом к плечу»</dc:creator>
  <cp:keywords/>
  <dc:description>generated by python-docx</dc:description>
  <cp:lastModifiedBy/>
  <cp:revision>1</cp:revision>
  <dcterms:created xsi:type="dcterms:W3CDTF">2013-12-23T23:15:00Z</dcterms:created>
  <dcterms:modified xsi:type="dcterms:W3CDTF">2013-12-23T23:15:00Z</dcterms:modified>
  <cp:category/>
</cp:coreProperties>
</file>