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pPr>
      <w:r>
        <w:rPr>
          <w:b w:val="0"/>
          <w:sz w:val="18"/>
        </w:rPr>
        <w:t>БЛАГОТВОРИТЕЛЬНЫЙ ФОНД «ПЛЕЧОМ К ПЛЕЧУ»</w:t>
      </w:r>
    </w:p>
    <w:p>
      <w:pPr>
        <w:pStyle w:val="Title"/>
      </w:pPr>
      <w:r>
        <w:t>Порядок получения</w:t>
        <w:br/>
        <w:t>благотворительной помощи</w:t>
      </w:r>
    </w:p>
    <w:p>
      <w:pPr>
        <w:keepLines/>
      </w:pPr>
      <w:r>
        <w:rPr>
          <w:b/>
        </w:rPr>
        <w:t>Для участников и ветеранов СВО и членов их семей</w:t>
      </w:r>
    </w:p>
    <w:p>
      <w:pPr>
        <w:keepLines/>
      </w:pPr>
      <w:r>
        <w:rPr>
          <w:b w:val="0"/>
        </w:rPr>
        <w:t>Порядок объясняет, как обратиться в Фонд, оформить помощь и подтвердить её получение. Применяется в рамках утверждённой программы и сметы. Помощь безвозмездная; её форма и размер зависят от назначения и доступных средств.</w:t>
      </w:r>
    </w:p>
    <w:p>
      <w:pPr>
        <w:pStyle w:val="Heading2"/>
      </w:pPr>
      <w:r>
        <w:t>1 Обратиться в Фонд</w:t>
      </w:r>
    </w:p>
    <w:p>
      <w:pPr>
        <w:keepLines/>
      </w:pPr>
      <w:r>
        <w:rPr>
          <w:b w:val="0"/>
        </w:rPr>
        <w:t>Сообщите ФИО, контакт для связи, свою категорию и какую помощь хотите получить: деньги на повседневные расходы, вещи либо оплату конкретного товара или услуги. Укажите желаемую сумму или состав помощи и срочность. Первичное обращение возможно лично или через официальный канал связи Фонда; сотрудник поможет оформить сведения.</w:t>
      </w:r>
    </w:p>
    <w:p>
      <w:pPr>
        <w:pStyle w:val="Heading2"/>
      </w:pPr>
      <w:r>
        <w:t>2 Подтвердить право на участие в программе</w:t>
      </w:r>
    </w:p>
    <w:p>
      <w:pPr>
        <w:keepLines/>
      </w:pPr>
      <w:r>
        <w:rPr>
          <w:b w:val="0"/>
        </w:rPr>
        <w:t>Предъявите документ, удостоверяющий личность, и подтверждение участия в СВО. Член семьи дополнительно подтверждает родство или иную предусмотренную программой семейную связь. Для конкретной покупки или услуги приложите счёт, расчёт либо другой документ о цели помощи. Справки о доходах и статус малоимущего не требуются.</w:t>
      </w:r>
    </w:p>
    <w:p>
      <w:pPr>
        <w:pStyle w:val="Heading2"/>
      </w:pPr>
      <w:r>
        <w:t>3 Получить решение Фонда</w:t>
      </w:r>
    </w:p>
    <w:p>
      <w:pPr>
        <w:keepLines/>
      </w:pPr>
      <w:r>
        <w:rPr>
          <w:b w:val="0"/>
        </w:rPr>
        <w:t>Полное обращение рассматривается в течение 5 рабочих дней. О недостающих сведениях Фонд сообщает в течение 3 рабочих дней; срок рассмотрения начинается после их получения. При подтверждённой срочности вопрос по возможности решается в день обращения после обязательных проверок.</w:t>
      </w:r>
    </w:p>
    <w:p>
      <w:pPr>
        <w:pStyle w:val="Heading2"/>
      </w:pPr>
      <w:r>
        <w:t>4 Подписать соглашение</w:t>
      </w:r>
    </w:p>
    <w:p>
      <w:pPr>
        <w:keepLines/>
      </w:pPr>
      <w:r>
        <w:rPr>
          <w:b w:val="0"/>
        </w:rPr>
        <w:t>После одобрения Фонд согласует с вами сумму или имущество, назначение помощи, способ и срок передачи, а при необходимости — порядок отчёта. Подпишите соглашение до передачи помощи либо одновременно с ней. Заявление может быть включено в этот же документ. Получите свой экземпляр.</w:t>
      </w:r>
    </w:p>
    <w:p>
      <w:pPr>
        <w:pStyle w:val="Heading2"/>
      </w:pPr>
      <w:r>
        <w:t>5 Получить помощь</w:t>
      </w:r>
    </w:p>
    <w:p>
      <w:pPr>
        <w:keepLines/>
      </w:pPr>
      <w:r>
        <w:rPr>
          <w:b w:val="0"/>
        </w:rPr>
        <w:t>Деньги перечисляются на согласованный банковский счёт или выдаются наличными по расходному кассовому ордеру. Вещи передаются по акту. Фонд также может оплатить товар или услугу непосредственно поставщику. Подтверждение получения подписывается при фактической передаче.</w:t>
      </w:r>
    </w:p>
    <w:p>
      <w:pPr>
        <w:pStyle w:val="Heading2"/>
      </w:pPr>
      <w:r>
        <w:t>6 Подтвердить использование при необходимости</w:t>
      </w:r>
    </w:p>
    <w:p>
      <w:pPr>
        <w:keepLines/>
      </w:pPr>
      <w:r>
        <w:rPr>
          <w:b w:val="0"/>
        </w:rPr>
        <w:t>При обычной поддержке повседневных расходов отдельные чеки и отчёт о каждой покупке не нужны, если иное не установлено условиями источника средств. При помощи на конкретную цель представьте документы в составе и срок, указанные в соглашении. Если цель изменилась, заранее свяжитесь с Фондом.</w:t>
      </w:r>
    </w:p>
    <w:p>
      <w:pPr>
        <w:pStyle w:val="Heading1"/>
      </w:pPr>
      <w:r>
        <w:t>Документы и рассмотрение обращения</w:t>
      </w:r>
    </w:p>
    <w:p>
      <w:pPr>
        <w:pStyle w:val="Heading2"/>
      </w:pPr>
      <w:r>
        <w:t>Кто может обратиться</w:t>
      </w:r>
    </w:p>
    <w:p>
      <w:pPr>
        <w:keepLines/>
      </w:pPr>
      <w:r>
        <w:rPr>
          <w:b w:val="0"/>
        </w:rPr>
        <w:t>Сам участник или ветеран СВО, член его семьи либо представитель. Организация может рекомендовать получателя, а Фонд — предложить помощь по собственной инициативе. В каждом случае до передачи проверяются личность, категория и согласие конкретного получателя.</w:t>
      </w:r>
    </w:p>
    <w:p>
      <w:pPr>
        <w:keepLines/>
      </w:pPr>
      <w:r>
        <w:rPr>
          <w:b w:val="0"/>
        </w:rPr>
        <w:t>Круг членов семьи определяется программой: супруги и пережившие супруги, дети независимо от возраста, родители, братья и сёстры, дедушки, бабушки, внуки, а также предусмотренные программой подопечные, опекуны и попечители. Помощь другим категориям требует самостоятельного основания в утверждённой программе.</w:t>
      </w:r>
    </w:p>
    <w:tbl>
      <w:tblPr>
        <w:tblW w:type="auto" w:w="0"/>
        <w:jc w:val="center"/>
        <w:tblLayout w:type="fixed"/>
        <w:tblLook w:firstColumn="1" w:firstRow="1" w:lastColumn="0" w:lastRow="0" w:noHBand="0" w:noVBand="1" w:val="04A0"/>
      </w:tblPr>
      <w:tblGrid>
        <w:gridCol w:w="2088"/>
        <w:gridCol w:w="7906"/>
      </w:tblGrid>
      <w:tr>
        <w:trPr>
          <w:cantSplit/>
          <w:tblHeader/>
        </w:trPr>
        <w:tc>
          <w:tcPr>
            <w:tcW w:type="dxa" w:w="208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8EDF1"/>
          </w:tcPr>
          <w:p>
            <w:pPr>
              <w:spacing w:after="40" w:line="245" w:lineRule="auto"/>
            </w:pPr>
            <w:r>
              <w:rPr>
                <w:b/>
                <w:sz w:val="20"/>
              </w:rPr>
              <w:t>Что подтверждается</w:t>
            </w:r>
          </w:p>
        </w:tc>
        <w:tc>
          <w:tcPr>
            <w:tcW w:type="dxa" w:w="790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8EDF1"/>
          </w:tcPr>
          <w:p>
            <w:pPr>
              <w:spacing w:after="40" w:line="245" w:lineRule="auto"/>
            </w:pPr>
            <w:r>
              <w:rPr>
                <w:b/>
                <w:sz w:val="20"/>
              </w:rPr>
              <w:t>Что предоставить</w:t>
            </w:r>
          </w:p>
        </w:tc>
      </w:tr>
      <w:tr>
        <w:trPr>
          <w:cantSplit/>
        </w:trPr>
        <w:tc>
          <w:tcPr>
            <w:tcW w:type="dxa" w:w="208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Личность</w:t>
            </w:r>
          </w:p>
        </w:tc>
        <w:tc>
          <w:tcPr>
            <w:tcW w:type="dxa" w:w="790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Паспорт или иной удостоверяющий личность документ. Обычно достаточно предъявления и фиксации необходимых реквизитов; полная копия паспорта по умолчанию не нужна.</w:t>
            </w:r>
          </w:p>
        </w:tc>
      </w:tr>
      <w:tr>
        <w:trPr>
          <w:cantSplit/>
        </w:trPr>
        <w:tc>
          <w:tcPr>
            <w:tcW w:type="dxa" w:w="208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Участие в СВО</w:t>
            </w:r>
          </w:p>
        </w:tc>
        <w:tc>
          <w:tcPr>
            <w:tcW w:type="dxa" w:w="790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Справка, официальный электронный документ, выписка или ответ компетентного органа. Одного факта военной службы недостаточно. Удостоверение ветерана дополняется подтверждением участия в СВО, если оно из него не следует.</w:t>
            </w:r>
          </w:p>
        </w:tc>
      </w:tr>
      <w:tr>
        <w:trPr>
          <w:cantSplit/>
        </w:trPr>
        <w:tc>
          <w:tcPr>
            <w:tcW w:type="dxa" w:w="208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Семейная связь</w:t>
            </w:r>
          </w:p>
        </w:tc>
        <w:tc>
          <w:tcPr>
            <w:tcW w:type="dxa" w:w="790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Свидетельство или выписка ЗАГС, документы об опеке, попечительстве либо решение суда; при необходимости — несколько документов, подтверждающих цепочку родства.</w:t>
            </w:r>
          </w:p>
        </w:tc>
      </w:tr>
      <w:tr>
        <w:trPr>
          <w:cantSplit/>
        </w:trPr>
        <w:tc>
          <w:tcPr>
            <w:tcW w:type="dxa" w:w="208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Представительство</w:t>
            </w:r>
          </w:p>
        </w:tc>
        <w:tc>
          <w:tcPr>
            <w:tcW w:type="dxa" w:w="790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Документ о полномочиях и личность представителя. За ребёнка или недееспособного получателя документы оформляются с участием законного представителя по правилам закона.</w:t>
            </w:r>
          </w:p>
        </w:tc>
      </w:tr>
      <w:tr>
        <w:trPr>
          <w:cantSplit/>
        </w:trPr>
        <w:tc>
          <w:tcPr>
            <w:tcW w:type="dxa" w:w="208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Конкретная цель</w:t>
            </w:r>
          </w:p>
        </w:tc>
        <w:tc>
          <w:tcPr>
            <w:tcW w:type="dxa" w:w="790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Счёт, договор, расчёт стоимости. Для лечения или реабилитации — только необходимые сведения о назначении помощи. Для обычных повседневных расходов смета покупок не требуется.</w:t>
            </w:r>
          </w:p>
        </w:tc>
      </w:tr>
      <w:tr>
        <w:trPr>
          <w:cantSplit/>
        </w:trPr>
        <w:tc>
          <w:tcPr>
            <w:tcW w:type="dxa" w:w="208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Перечисление денег</w:t>
            </w:r>
          </w:p>
        </w:tc>
        <w:tc>
          <w:tcPr>
            <w:tcW w:type="dxa" w:w="790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ФИО владельца счёта, номер банковского счёта, БИК и необходимые реквизиты банка. Счёт представителя используется только при надлежащем оформлении его полномочий.</w:t>
            </w:r>
          </w:p>
        </w:tc>
      </w:tr>
    </w:tbl>
    <w:p>
      <w:pPr>
        <w:spacing w:after="0"/>
      </w:pPr>
    </w:p>
    <w:p>
      <w:pPr>
        <w:pStyle w:val="Heading2"/>
      </w:pPr>
      <w:r>
        <w:t>Что проверяет Фонд</w:t>
      </w:r>
    </w:p>
    <w:p>
      <w:pPr>
        <w:keepLines/>
      </w:pPr>
      <w:r>
        <w:rPr>
          <w:b w:val="0"/>
        </w:rPr>
        <w:t>Сотрудник регистрирует обращение, проверяет категорию, назначение, достоверность документов, источник средств и наличие суммы в смете. Сведения, которые уже есть в деле и не изменились, повторно не запрашиваются. Если подтверждение категории недоступно, Фонд помогает его получить; выплата до подтверждения не производится.</w:t>
      </w:r>
    </w:p>
    <w:p>
      <w:pPr>
        <w:pStyle w:val="Heading2"/>
      </w:pPr>
      <w:r>
        <w:t>Кто принимает решение</w:t>
      </w:r>
    </w:p>
    <w:p>
      <w:pPr>
        <w:keepLines/>
      </w:pPr>
      <w:r>
        <w:rPr>
          <w:b w:val="0"/>
        </w:rPr>
        <w:t>Директор принимает решение в пределах утверждённой сметы и доступного финансирования. В решении указываются получатель, категория, цель, сумма или имущество, источник, статья сметы, сроки передачи и условия отчёта. Отдельная комиссия для обычных выплат не нужна. Изменение программы или сметы и заинтересованные сделки выносятся на Совет в установленном порядке.</w:t>
      </w:r>
    </w:p>
    <w:p>
      <w:pPr>
        <w:keepLines/>
      </w:pPr>
      <w:r>
        <w:rPr>
          <w:b w:val="0"/>
          <w:sz w:val="18"/>
        </w:rPr>
        <w:t>Фиксированный максимум помощи программой не установлен. При нехватке средств сначала исполняются принятые обязательства, затем рассматриваются подтверждённые неотложные случаи, остальные полные обращения — по порядку поступления. Условия целевого пожертвования сохраняют силу.</w:t>
      </w:r>
    </w:p>
    <w:p>
      <w:pPr>
        <w:pStyle w:val="Heading1"/>
      </w:pPr>
      <w:r>
        <w:t>Соглашение и передача помощи</w:t>
      </w:r>
    </w:p>
    <w:p>
      <w:pPr>
        <w:pStyle w:val="Heading2"/>
      </w:pPr>
      <w:r>
        <w:t>Что закрепить в соглашении</w:t>
      </w:r>
    </w:p>
    <w:p>
      <w:pPr>
        <w:keepLines/>
      </w:pPr>
      <w:r>
        <w:rPr>
          <w:b w:val="0"/>
        </w:rPr>
        <w:t>Используется письменное соглашение об оказании благотворительной помощи. Для денег или имущества с определённым назначением оно должно учитывать правила о пожертвовании. В документ включаются:</w:t>
      </w:r>
    </w:p>
    <w:p>
      <w:pPr>
        <w:keepLines/>
      </w:pPr>
      <w:r>
        <w:rPr>
          <w:b w:val="0"/>
        </w:rPr>
        <w:t>• стороны, данные получателя и представителя при его участии, номер и дата;</w:t>
      </w:r>
    </w:p>
    <w:p>
      <w:pPr>
        <w:keepLines/>
      </w:pPr>
      <w:r>
        <w:rPr>
          <w:b w:val="0"/>
        </w:rPr>
        <w:t>• программа, подтверждённая категория и безвозмездный характер помощи;</w:t>
      </w:r>
    </w:p>
    <w:p>
      <w:pPr>
        <w:keepLines/>
      </w:pPr>
      <w:r>
        <w:rPr>
          <w:b w:val="0"/>
        </w:rPr>
        <w:t>• сумма либо перечень имущества, количество и стоимость для учёта;</w:t>
      </w:r>
    </w:p>
    <w:p>
      <w:pPr>
        <w:keepLines/>
      </w:pPr>
      <w:r>
        <w:rPr>
          <w:b w:val="0"/>
        </w:rPr>
        <w:t>• назначение помощи, способ передачи, реквизиты и конкретный срок;</w:t>
      </w:r>
    </w:p>
    <w:p>
      <w:pPr>
        <w:keepLines/>
      </w:pPr>
      <w:r>
        <w:rPr>
          <w:b w:val="0"/>
        </w:rPr>
        <w:t>• обязанность использовать помощь по назначению; состав и срок отчёта либо условие об отсутствии отдельного отчёта по обычной поддержке;</w:t>
      </w:r>
    </w:p>
    <w:p>
      <w:pPr>
        <w:keepLines/>
      </w:pPr>
      <w:r>
        <w:rPr>
          <w:b w:val="0"/>
        </w:rPr>
        <w:t>• действия при невозможности использования по назначению, порядок согласования изменений и возврата остатка по конкретной цели;</w:t>
      </w:r>
    </w:p>
    <w:p>
      <w:pPr>
        <w:keepLines/>
      </w:pPr>
      <w:r>
        <w:rPr>
          <w:b w:val="0"/>
        </w:rPr>
        <w:t>• подписи сторон и условия следующих выплат, только если они отдельно одобрены.</w:t>
      </w:r>
    </w:p>
    <w:p>
      <w:pPr>
        <w:keepLines/>
      </w:pPr>
      <w:r>
        <w:rPr>
          <w:b w:val="0"/>
        </w:rPr>
        <w:t>Для обычной поддержки подходит назначение: «Благотворительная помощь на личные и семейные повседневные расходы в рамках программы поддержки участников и ветеранов СВО и членов их семей». Получатель выбирает расходы внутри этого назначения самостоятельно.</w:t>
      </w:r>
    </w:p>
    <w:tbl>
      <w:tblPr>
        <w:tblW w:type="auto" w:w="0"/>
        <w:jc w:val="center"/>
        <w:tblLayout w:type="fixed"/>
        <w:tblLook w:firstColumn="1" w:firstRow="1" w:lastColumn="0" w:lastRow="0" w:noHBand="0" w:noVBand="1" w:val="04A0"/>
      </w:tblPr>
      <w:tblGrid>
        <w:gridCol w:w="2088"/>
        <w:gridCol w:w="7906"/>
      </w:tblGrid>
      <w:tr>
        <w:trPr>
          <w:cantSplit/>
          <w:tblHeader/>
        </w:trPr>
        <w:tc>
          <w:tcPr>
            <w:tcW w:type="dxa" w:w="208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8EDF1"/>
          </w:tcPr>
          <w:p>
            <w:pPr>
              <w:spacing w:after="40" w:line="245" w:lineRule="auto"/>
            </w:pPr>
            <w:r>
              <w:rPr>
                <w:b/>
                <w:sz w:val="20"/>
              </w:rPr>
              <w:t>Способ помощи</w:t>
            </w:r>
          </w:p>
        </w:tc>
        <w:tc>
          <w:tcPr>
            <w:tcW w:type="dxa" w:w="790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8EDF1"/>
          </w:tcPr>
          <w:p>
            <w:pPr>
              <w:spacing w:after="40" w:line="245" w:lineRule="auto"/>
            </w:pPr>
            <w:r>
              <w:rPr>
                <w:b/>
                <w:sz w:val="20"/>
              </w:rPr>
              <w:t>Как подтвердить передачу</w:t>
            </w:r>
          </w:p>
        </w:tc>
      </w:tr>
      <w:tr>
        <w:trPr>
          <w:cantSplit/>
        </w:trPr>
        <w:tc>
          <w:tcPr>
            <w:tcW w:type="dxa" w:w="208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Банковский перевод</w:t>
            </w:r>
          </w:p>
        </w:tc>
        <w:tc>
          <w:tcPr>
            <w:tcW w:type="dxa" w:w="790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Платёжный документ и банковская выписка об исполнении. В назначении платежа — благотворительная помощь, программа, номер и дата соглашения. Диагноз не указывается. Отдельная расписка о получении перевода обычно не требуется.</w:t>
            </w:r>
          </w:p>
        </w:tc>
      </w:tr>
      <w:tr>
        <w:trPr>
          <w:cantSplit/>
        </w:trPr>
        <w:tc>
          <w:tcPr>
            <w:tcW w:type="dxa" w:w="208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Наличные</w:t>
            </w:r>
          </w:p>
        </w:tc>
        <w:tc>
          <w:tcPr>
            <w:tcW w:type="dxa" w:w="790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Расходный кассовый ордер формы КО-2 с необходимыми подписями, включая подпись получателя, и запись в кассовой книге. Личность и полномочия проверяются. Конверт и обычная расписка не заменяют кассовые документы.</w:t>
            </w:r>
          </w:p>
        </w:tc>
      </w:tr>
      <w:tr>
        <w:trPr>
          <w:cantSplit/>
        </w:trPr>
        <w:tc>
          <w:tcPr>
            <w:tcW w:type="dxa" w:w="208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Имущество</w:t>
            </w:r>
          </w:p>
        </w:tc>
        <w:tc>
          <w:tcPr>
            <w:tcW w:type="dxa" w:w="790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Акт или иной первичный документ: получатель, дата, наименование, количество, стоимость для учёта, подписи. Передачу можно оформить разделом соглашения при наличии обязательных реквизитов первичного документа.</w:t>
            </w:r>
          </w:p>
        </w:tc>
      </w:tr>
      <w:tr>
        <w:trPr>
          <w:cantSplit/>
        </w:trPr>
        <w:tc>
          <w:tcPr>
            <w:tcW w:type="dxa" w:w="208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Оплата поставщику</w:t>
            </w:r>
          </w:p>
        </w:tc>
        <w:tc>
          <w:tcPr>
            <w:tcW w:type="dxa" w:w="790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Договор или заказ, счёт, подтверждение оплаты и исполнения в интересах конкретного получателя. Фонд получает акт, накладную или иной документ поставщика; получатель подтверждает результат, если это необходимо.</w:t>
            </w:r>
          </w:p>
        </w:tc>
      </w:tr>
    </w:tbl>
    <w:p>
      <w:pPr>
        <w:spacing w:after="0"/>
      </w:pPr>
    </w:p>
    <w:p>
      <w:pPr>
        <w:pStyle w:val="Heading2"/>
      </w:pPr>
      <w:r>
        <w:t>Отчёт и остаток средств</w:t>
      </w:r>
    </w:p>
    <w:p>
      <w:pPr>
        <w:keepLines/>
      </w:pPr>
      <w:r>
        <w:rPr>
          <w:b w:val="0"/>
        </w:rPr>
        <w:t>Для конкретной цели заранее выбирается достаточное подтверждение: чек и документ о покупке, акт оказания услуги, выписка об оплате либо краткий отчёт с приложениями. Авансовый отчёт работника к получателю помощи не применяется. При прямой оплате поставщику Фонд собирает документы сам; повторный комплект от получателя не нужен.</w:t>
      </w:r>
    </w:p>
    <w:p>
      <w:pPr>
        <w:keepLines/>
      </w:pPr>
      <w:r>
        <w:rPr>
          <w:b w:val="0"/>
        </w:rPr>
        <w:t>Неиспользованный остаток по конкретной цели возвращается или его новое назначение заранее согласуется письменно с учётом условий жертвователя. Просрочка отчёта сама по себе не доказывает нецелевое использование; Фонд сначала запрашивает пояснения.</w:t>
      </w:r>
    </w:p>
    <w:p>
      <w:pPr>
        <w:pStyle w:val="Heading1"/>
      </w:pPr>
      <w:r>
        <w:t>Оформление без лишних документов</w:t>
      </w:r>
    </w:p>
    <w:p>
      <w:pPr>
        <w:pStyle w:val="Heading2"/>
      </w:pPr>
      <w:r>
        <w:t>Минимальное дело получателя</w:t>
      </w:r>
    </w:p>
    <w:tbl>
      <w:tblPr>
        <w:tblW w:type="auto" w:w="0"/>
        <w:jc w:val="center"/>
        <w:tblLayout w:type="fixed"/>
        <w:tblLook w:firstColumn="1" w:firstRow="1" w:lastColumn="0" w:lastRow="0" w:noHBand="0" w:noVBand="1" w:val="04A0"/>
      </w:tblPr>
      <w:tblGrid>
        <w:gridCol w:w="2448"/>
        <w:gridCol w:w="7546"/>
      </w:tblGrid>
      <w:tr>
        <w:trPr>
          <w:cantSplit/>
          <w:tblHeader/>
        </w:trPr>
        <w:tc>
          <w:tcPr>
            <w:tcW w:type="dxa" w:w="24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8EDF1"/>
          </w:tcPr>
          <w:p>
            <w:pPr>
              <w:spacing w:after="40" w:line="245" w:lineRule="auto"/>
            </w:pPr>
            <w:r>
              <w:rPr>
                <w:b/>
                <w:sz w:val="20"/>
              </w:rPr>
              <w:t>Документ или сведения</w:t>
            </w:r>
          </w:p>
        </w:tc>
        <w:tc>
          <w:tcPr>
            <w:tcW w:type="dxa" w:w="754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8EDF1"/>
          </w:tcPr>
          <w:p>
            <w:pPr>
              <w:spacing w:after="40" w:line="245" w:lineRule="auto"/>
            </w:pPr>
            <w:r>
              <w:rPr>
                <w:b/>
                <w:sz w:val="20"/>
              </w:rPr>
              <w:t>Как сократить оформление</w:t>
            </w:r>
          </w:p>
        </w:tc>
      </w:tr>
      <w:tr>
        <w:trPr>
          <w:cantSplit/>
        </w:trPr>
        <w:tc>
          <w:tcPr>
            <w:tcW w:type="dxa" w:w="24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Обращение и соглашение</w:t>
            </w:r>
          </w:p>
        </w:tc>
        <w:tc>
          <w:tcPr>
            <w:tcW w:type="dxa" w:w="754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Объединить в одну форму: просьба получателя, необходимые сведения и условия помощи.</w:t>
            </w:r>
          </w:p>
        </w:tc>
      </w:tr>
      <w:tr>
        <w:trPr>
          <w:cantSplit/>
        </w:trPr>
        <w:tc>
          <w:tcPr>
            <w:tcW w:type="dxa" w:w="24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Решение директора</w:t>
            </w:r>
          </w:p>
        </w:tc>
        <w:tc>
          <w:tcPr>
            <w:tcW w:type="dxa" w:w="754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Включить отдельным блоком в единую форму либо оформить записью в утверждённом реестре с индивидуальными условиями и подписью. Дополнительный приказ на каждую выплату не нужен, если решение оформлено надлежащим образом.</w:t>
            </w:r>
          </w:p>
        </w:tc>
      </w:tr>
      <w:tr>
        <w:trPr>
          <w:cantSplit/>
        </w:trPr>
        <w:tc>
          <w:tcPr>
            <w:tcW w:type="dxa" w:w="24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Подтверждение категории</w:t>
            </w:r>
          </w:p>
        </w:tc>
        <w:tc>
          <w:tcPr>
            <w:tcW w:type="dxa" w:w="754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Сохранить необходимые документы или официальные подтверждения и результат проверки. При повторном обращении сослаться на уже имеющееся дело.</w:t>
            </w:r>
          </w:p>
        </w:tc>
      </w:tr>
      <w:tr>
        <w:trPr>
          <w:cantSplit/>
        </w:trPr>
        <w:tc>
          <w:tcPr>
            <w:tcW w:type="dxa" w:w="24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Подтверждение передачи</w:t>
            </w:r>
          </w:p>
        </w:tc>
        <w:tc>
          <w:tcPr>
            <w:tcW w:type="dxa" w:w="754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Оставить документ соответствующего способа помощи: банковское исполнение, РКО, акт передачи либо документы поставщика.</w:t>
            </w:r>
          </w:p>
        </w:tc>
      </w:tr>
      <w:tr>
        <w:trPr>
          <w:cantSplit/>
        </w:trPr>
        <w:tc>
          <w:tcPr>
            <w:tcW w:type="dxa" w:w="24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Отчёт и персональные данные</w:t>
            </w:r>
          </w:p>
        </w:tc>
        <w:tc>
          <w:tcPr>
            <w:tcW w:type="dxa" w:w="7546"/>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line="245" w:lineRule="auto"/>
            </w:pPr>
            <w:r>
              <w:rPr>
                <w:b w:val="0"/>
                <w:sz w:val="20"/>
              </w:rPr>
              <w:t>Отчёт — только по предусмотренным условиям. Если обработка данных требует согласия, оно оформляется отдельным документом, а не пунктом соглашения.</w:t>
            </w:r>
          </w:p>
        </w:tc>
      </w:tr>
    </w:tbl>
    <w:p>
      <w:pPr>
        <w:spacing w:after="0"/>
      </w:pPr>
    </w:p>
    <w:p>
      <w:pPr>
        <w:keepLines/>
      </w:pPr>
      <w:r>
        <w:rPr>
          <w:b w:val="0"/>
        </w:rPr>
        <w:t>Таким образом, обычная безналичная помощь может оформляться одной подписанной формой с обращением, решением и соглашением, подтверждениями категории и банковскими документами. При необходимости добавляется отдельное согласие на обработку данных. Электронный реестр позволяет не вести дублирующий бумажный журнал.</w:t>
      </w:r>
    </w:p>
    <w:p>
      <w:pPr>
        <w:pStyle w:val="Heading2"/>
      </w:pPr>
      <w:r>
        <w:t>Пример обычной поддержки семьи</w:t>
      </w:r>
    </w:p>
    <w:p>
      <w:pPr>
        <w:keepLines/>
      </w:pPr>
      <w:r>
        <w:rPr>
          <w:b w:val="0"/>
        </w:rPr>
        <w:t>Супруга участника СВО обращается за помощью на повседневные семейные расходы. Фонд проверяет её личность, брак и участие супруга в СВО. Директор определяет сумму и источник. Стороны подписывают единую форму, Фонд перечисляет деньги и сохраняет банковское подтверждение. Чеки на продукты, одежду и коммунальные расходы не собираются, если источник средств не требует иного.</w:t>
      </w:r>
    </w:p>
    <w:p>
      <w:pPr>
        <w:pStyle w:val="Heading2"/>
      </w:pPr>
      <w:r>
        <w:t>Если помощь пока невозможна</w:t>
      </w:r>
    </w:p>
    <w:p>
      <w:pPr>
        <w:keepLines/>
      </w:pPr>
      <w:r>
        <w:rPr>
          <w:b w:val="0"/>
        </w:rPr>
        <w:t>Фонд сообщает причину: категория не подтверждена после запроса, цель вне программы, существенные сведения недостоверны, отсутствуют средства, конкретный расход уже полностью возмещён либо есть установленный законом запрет. При временной нехватке средств возможна очередь с уведомлением. Заявитель вправе представить уточнения или обратиться к Совету за пересмотром; срок пересмотра — 15 рабочих дней.</w:t>
      </w:r>
    </w:p>
    <w:p>
      <w:pPr>
        <w:pStyle w:val="Heading2"/>
      </w:pPr>
      <w:r>
        <w:t>Личные данные и публичность</w:t>
      </w:r>
    </w:p>
    <w:p>
      <w:pPr>
        <w:keepLines/>
      </w:pPr>
      <w:r>
        <w:rPr>
          <w:b w:val="0"/>
        </w:rPr>
        <w:t>Фонд собирает только необходимые сведения на законном основании. Сведения о здоровье обрабатываются с соблюдением специальных требований. Фото, видео и публикация истории не являются условием помощи; для их использования оформляются необходимые самостоятельные согласия. Отказ от публичности не влияет на решение.</w:t>
      </w:r>
    </w:p>
    <w:p>
      <w:pPr>
        <w:pStyle w:val="Heading2"/>
      </w:pPr>
      <w:r>
        <w:t>Введение порядка в работу</w:t>
      </w:r>
    </w:p>
    <w:p>
      <w:pPr>
        <w:keepLines/>
      </w:pPr>
      <w:r>
        <w:rPr>
          <w:b w:val="0"/>
        </w:rPr>
        <w:t>Совет утверждает программу с заполненной сметой и параметрами реализации; настоящий порядок рекомендуется утвердить вместе с ними. Директор вводит единую форму, назначает ответственного за обращения и учёт, определяет официальные контакты и обеспечивает кассовое оформление при выдаче наличных. Перед выплатой проверяется также её налоговое оформление по конкретному основанию.</w:t>
      </w:r>
    </w:p>
    <w:p>
      <w:pPr>
        <w:keepLines/>
      </w:pPr>
      <w:r>
        <w:rPr>
          <w:b w:val="0"/>
          <w:sz w:val="18"/>
        </w:rPr>
        <w:t>Основания: Устав Фонда, пп. 2.1, 8.1.3, 8.3.3 и ст. 9; программа поддержки участников и ветеранов СВО и членов их семей, разделы 3–10. Сроки 3, 5 и 15 рабочих дней установлены программой, а не являются общей обязанностью всех благотворительных фондов.</w:t>
      </w:r>
    </w:p>
    <w:p>
      <w:pPr>
        <w:keepLines/>
      </w:pPr>
      <w:r>
        <w:rPr>
          <w:b w:val="0"/>
          <w:sz w:val="18"/>
        </w:rPr>
        <w:t>Нормативная основа: ст. 17 Закона № 135-ФЗ; ст. 574 и 582 ГК РФ; ст. 6, 9, 10 и 10.1 Закона № 152-ФЗ; ст. 9 Закона № 402-ФЗ; Указание Банка России № 3210-У. Проверено 16 октября 2026 года.</w:t>
      </w:r>
    </w:p>
    <w:sectPr w:rsidR="00FC693F" w:rsidRPr="0006063C" w:rsidSect="00034616">
      <w:footerReference w:type="default" r:id="rId9"/>
      <w:pgSz w:w="12240" w:h="15840"/>
      <w:pgMar w:top="950"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Плечом к плечу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59" w:lineRule="auto"/>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line="25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line="259"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59" w:lineRule="auto" w:before="0"/>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получения благотворительной помощи</dc:title>
  <dc:subject>Пошаговый порядок обращения, назначения и передачи помощи</dc:subject>
  <dc:creator>БФ «Плечом к плечу»</dc:creator>
  <cp:keywords/>
  <dc:description>generated by python-docx</dc:description>
  <cp:lastModifiedBy/>
  <cp:revision>1</cp:revision>
  <dcterms:created xsi:type="dcterms:W3CDTF">2013-12-23T23:15:00Z</dcterms:created>
  <dcterms:modified xsi:type="dcterms:W3CDTF">2013-12-23T23:15:00Z</dcterms:modified>
  <cp:category/>
</cp:coreProperties>
</file>